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119 IA 59 vom 1. Januar 1993</w:t>
      </w:r>
    </w:p>
    <w:p>
      <w:r>
        <w:t>Bundesgericht (BGE), 1993-01-01, DE</w:t>
      </w:r>
    </w:p>
    <w:p>
      <w:r>
        <w:rPr>
          <w:b/>
        </w:rPr>
        <w:t xml:space="preserve">Quelle: </w:t>
      </w:r>
      <w:r>
        <w:t>https://mcp.opencaselaw.ch/entscheid/bge_BGE_119_IA_59</w:t>
      </w:r>
    </w:p>
    <w:p>
      <w:r>
        <w:t>FR: BGE BGE 119 IA 59 du 1 janvier 1993</w:t>
      </w:r>
    </w:p>
    <w:p>
      <w:r>
        <w:t>IT: BGE BGE 119 IA 59 del 1 gennaio 1993</w:t>
      </w:r>
    </w:p>
    <w:p>
      <w:pPr>
        <w:pStyle w:val="Heading2"/>
      </w:pPr>
      <w:r>
        <w:t>Regeste</w:t>
      </w:r>
    </w:p>
    <w:p>
      <w:r>
        <w:t>Regeste Höchstsatz für Konsumkreditkosten (Art. 2 ÜbBest. BV; Art. 31 BV). Ein kantonaler Höchstsatz für Konsumkreditkosten von 15% jährlich verstösst weder gegen die derogatorische Kraft des Bundeszivilrechts (E. 2-5) noch gegen die Handels- und Gewerbefreiheit (E. 6 und 7).</w:t>
      </w:r>
    </w:p>
    <w:p>
      <w:r>
        <w:t>Regeste Intérêt maximum sur les prêts à la consommation (art. 2 Disp. trans. Cst.; art. 31 Cst.). La fixation par un canton d'un taux d'intérêt maximum de 15% sur les prêts à la consommation ne viole pas le principe de la force dérogatoire du droit fédéral (consid. 2 à 5) et n'est pas contraire à la liberté du commerce et de l'industrie (consid. 6 et 7).</w:t>
      </w:r>
    </w:p>
    <w:p>
      <w:r>
        <w:t>Regesto Tasso massimo dell'interesse per i crediti al consumo (art. 2 Dispo. trans. Cost.; art. 31 Cost.). Un tasso massimo annuale dell'interesse per i crediti al consumo fissato dal Cantone al 15% non disattende il principio della forza derogatoria del diritto civile federale (consid. 2-5) né la libertà di commercio e d'industria (consid. 6 e 7).</w:t>
      </w:r>
    </w:p>
    <w:p>
      <w:pPr>
        <w:pStyle w:val="Heading2"/>
      </w:pPr>
      <w:r>
        <w:t>Erwägungen</w:t>
      </w:r>
    </w:p>
    <w:p>
      <w:r>
        <w:rPr>
          <w:b/>
        </w:rPr>
        <w:t>E. 2</w:t>
      </w:r>
    </w:p>
    <w:p>
      <w:r>
        <w:t>a) Bundesrecht geht kantonalem Recht vor. Nach dem von den Beschwerdeführern angerufenen und in Art. 2 ÜbBest. BV enthaltenen Grundsatz der derogatorischen Kraft des Bundesrechts dürfen die Kantone kein Recht erlassen, das im Widerspruch zu Bundesrecht steht. In Sachgebieten, welche die Bundesgesetzgebung abschliessend geregelt hat, sind sie zur Rechtsetzung nicht befugt ( BGE 117 Ia 473 ; BGE 115 Ia 272 E. 12a; BGE 113 Ia 311 ). b) Gemäss Art. 64 BV steht dem Bund die Gesetzgebung auf dem Gebiete des Zivilrechts zu. Es handelt sich hiebei um eine ausschliessliche Zuständigkeit umfassender Art. Die Kantone dürfen nur soweit zivilrechtliche Bestimmungen erlassen, als das Bundesrecht ausdrücklich oder dem Sinne nach die Geltung kantonalen Rechts vorbehält ( BGE 117 Ia 331 E. 2b; BGE 113 Ia 311 ; BGE 85 I 20 ). Hingegen werden gemäss Art. 6 ZGB die öffentlichrechtlichen Befugnisse der Kantone durch das Bundeszivilrecht nicht beschränkt. Die Kantone können im öffentlichen Interesse Vorschriften aufstellen, welche die zivilrechtliche Ordnung ergänzen. Wo die Schranken der expansiven Kraft des öffentlichen Rechts liegen und welche zivilrechtlichen Vorschriften eine abschliessende Ordnung darstellen und Modifikationen durch Bestimmungen des kantonalen öffentlichen Rechts ausschliessen, lässt sich nicht in allgemeiner Form umschreiben. Nach der Rechtsprechung des Bundesgerichts ist der Erlass öffentlichrechtlicher kantonaler Vorschriften in einem vom Bundeszivilrecht geregelten Bereich gestützt auf Art. 6 ZGB zulässig, sofern der Bundesgesetzgeber nicht eine abschliessende Ordnung geschaffen hat, die kantonalen Bestimmungen einem schutzwürdigen öffentlichen Interesse entsprechen und nicht gegen Sinn und Geist des Bundeszivilrechts verstossen ( BGE 114 Ia 355 E. 4a; BGE 113 Ia 141 E. 9a, 311 E. 3b; BGE 110 Ia 113 E. 3b). c) Neben dem allgemeinen Vorbehalt von Art. 6 ZGB zugunsten des kantonalen öffentlichen Rechts fällt vorliegend auch der besondere Vorbehalt von Art. 73 Abs. 2 OR in Betracht. Danach bleibt es dem öffentlichen Recht vorbehalten, Bestimmungen BGE 119 Ia 59 S. 62 gegen Missbräuche im Zinswesen aufzustellen. Die Bedeutung von Art. 73 Abs. 2 OR erschöpft sich - wie diejenige von Art. 6 Abs. 1 ZGB - nicht darin, bloss unechter Vorbehalt, d.h. deklaratorische Selbstverständlichkeit zu sein. Vielmehr gesteht die Bestimmung im Bereich der Zinsvorschriften dem kantonalen öffentlichen Recht bundesrechtlich eine expansive Kraft (HUBER, Berner Kommentar, N. 70 und 98 zu Art. 6 ZGB ), eine Unabhängigkeit vom Bundeszivilrecht (EGGER, Zürcher Kommentar, N. 16 zu Art. 6 ZGB ) zu.</w:t>
      </w:r>
    </w:p>
    <w:p>
      <w:r>
        <w:rPr>
          <w:b/>
        </w:rPr>
        <w:t>E. 3</w:t>
      </w:r>
    </w:p>
    <w:p>
      <w:r>
        <w:t>Die Beschwerdeführer vertreten die Auffassung, Höchstzinsvorschriften seien zivilrechtlicher Natur und dürften schon aus diesem Grund vom kantonalen Gesetzgeber nicht erlassen werden. Die in der Rechtstheorie schillernde Abgrenzung des privaten vom öffentlichen Recht bricht sich indessen an der normativen Abgrenzung des positiven Rechts. Soweit der Bundesgesetzgeber eine Materie dem privaten oder dem öffentlichen Recht zuordnet, ist diese Zuordnung auch für den Rechtsanwender verbindlich und bleibt der Theorienstreit bedeutungslos (vgl. BGE 42 I 351 ; HUBER, a.a.O., N. 118 zu Art. 6 ZGB ). Art. 73 Abs. 2 OR weist die Gesetzgebung gegen die Missbräuche im Zinswesen ausdrücklich dem öffentlichen Recht zu. Insoweit bleibt kein Raum für die Annahme der Beschwerdeführer, es handle sich dennoch um Zivilrecht.</w:t>
      </w:r>
    </w:p>
    <w:p>
      <w:r>
        <w:rPr>
          <w:b/>
        </w:rPr>
        <w:t>E. 4</w:t>
      </w:r>
    </w:p>
    <w:p>
      <w:r>
        <w:t>a) Nach Meinung der Beschwerdeführer ist im Bundesrecht abschliessend definiert, was im Zinswesen missbräuchlich sei. Es habe sich nämlich im Laufe der Jahrzehnte gewohnheitsrechtlich ein Maximalzinsfuss von 18% als diejenige Grenze herausgebildet, bis zu welcher Zinsen gefordert werden dürften und jenseits welcher der Missbrauch beginne (so auch GIGER, Kompetenzausscheidung zwischen Bund und Kantonen auf dem Gebiet der Gesetzgebung unter besonderer Berücksichtigung des Konsumkreditwesens, Zürich 1989, S. 67 f.). b) Gewohnheitsrecht ist ungeschriebenes, objektives Recht. Seine Entstehung setzt eine längere Zeit andauernde, ununterbrochene Übung voraus, welche auf der Rechtsüberzeugung sowohl der rechtsanwendenden Behörden als auch der vom angewendeten Grundsatz Betroffenen (opinio iuris et necessitatis) beruht. Erforderlich ist zudem, dass eine Lücke des geschriebenen Rechts vorliegt und ein unabweisliches Bedürfnis besteht, sie zu füllen ( BGE 105 Ia 5 , 84, je mit Hinweisen; RIEMER, Die Einleitungsartikel des Schweizerischen Zivilgesetzbuches, Bern 1987, S. 58, § 4 N. 99; MEIER-HAYOZ, Berner Kommentar, N. 233 zu Art. 1 ZGB ). BGE 119 Ia 59 S. 63 c) Hat der Bundesgesetzgeber in Art. 73 Abs. 2 OR die Bekämpfung der Zinsmissbräuche dem öffentlichen Recht (des Bundes oder der Kantone) vorbehalten, so kann sich darüber kein bundesprivates Gewohnheitsrecht bilden. Eine Lücke, die es zu füllen gälte, besteht gerade nicht. Hat das Bundesprivatrecht bewusst auf eine Regelung verzichtet, enthält es ein qualifiziertes Schweigen, eine negative Norm, welche der Bildung von Gewohnheitsrecht Schranken setzt, da derogierendes Gewohnheitsrecht grundsätzlich unzulässig ist (MEIER-HAYOZ, a.a.O., N. 247 zu Art. 1 ZGB ; offengelassen in BGE 115 II 411 ). Bereits aus diesem Grund lässt sich die namentlich von GIGER (a.a.O.) vertretene Auffassung nicht halten, der Maximalzinsfuss sei bundesprivatrechtlich durch Gewohnheitsrecht auf 18% bestimmt. Entgegen der von diesem Autor gegebenen Begründung wird diese Meinung denn auch weder in der herrschenden wissenschaftlichen Lehre noch in der bundesgerichtlichen Rechtsprechung vertreten. Der von GIGER zitierte WEBER (Berner Kommentar, N. 133 zu Art. 73 OR ) hält ausdrücklich fest, das Bundeszivilrecht sehe keinen Höchstzinsfuss vor, führt aber an, im Rahmen der seinerzeitigen Vorlage für ein Konsumkreditgesetz habe der Bundesrat die Absicht bekundet, sich an die "gewohnheitsrechtliche Grenze von 18%" halten zu wollen (a.a.O., N. 134). Die Botschaft des Bundesrates spricht allerdings bloss von einer "beinahe zu Gewohnheitsrecht gediehenen Höchstgrenze von 18 Jahresprozenten" (BBl 1978 II 567), wobei sie sich auf BGE 93 II 189 beruft, welchem Entscheid eine solche Auffassung aber nicht zu entnehmen ist. Das Bundesgericht hatte damals einzig zu beurteilen, ab welchem Mass ein Kreditzins gegen die guten Sitten ( Art. 20 OR ) verstosse. Es erachtete es dabei als bundesrechtskonform, zum Vergleich das Interkantonale Konkordat vom 8. Oktober 1957 über Massnahmen zur Bekämpfung von Missbräuchen im Zinswesen (SR 221.121.1) beizuziehen, welches einen entsprechenden Höchstzinssatz kennt. Das heisst indessen nicht, dass Bundesgericht habe diesem Satz gewohnheitsrechtliche Verbindlichkeit beigemessen. d) Besteht aber mangels zu füllender Lücke im Obligationenrecht kein Raum für bundesprivates Gewohnheitsrecht, könnte sich solches höchstens als öffentliches, kantonales oder eidgenössisches Gewohnheitsrecht bilden. Indessen liegt auch hier eine Lücke nicht vor. Zahlreiche Kantone haben, sei es autonom oder konkordatsrechtlich, entsprechende gesetzliche Vorschriften erlassen (WEBER, a.a.O., N. 137 ff. zu Art. 73 OR ; SCHRANER, Zürcher Kommentar, BGE 119 Ia 59 S. 64 N. 100 ff. zu Art. 73 OR ), so namentlich der Kanton Zürich in § 213 EG ZGB in der Fassung vom 22. November 1942. Unter solchen Umständen kann Gewohnheitsrecht, welches zwingend subsidiär ist, nicht entstehen (vgl. BGE 105 Ia 6 ; 115 IV 266 ). Die primäre Rechtsquelle des Gesetzes bleibt ausschliesslich anwendbar. Sie wird auch nicht etwa einer durch ihren Rechtsbestand bewirkten langjährigen Rechtsüberzeugung wegen gewohnheitsrechtlich zementiert und damit unabänderlich. Die gegenteilige Auffassung würde von vornherein jeder Praxisänderung zu einer langjährigen Gesetzesauslegung entgegenstehen, was indessen nicht zu vertreten ist (RIEMER, a.a.O., S. 59, § 4 N. 102). Wo gesetztes Recht besteht, bleibt Raum weder für abweichendes noch für bestätigendes Gewohnheitsrecht. e) Entgegen der Meinung der Beschwerdeführer ändert auch das Preisüberwachungsgesetz vom 20. Dezember 1985 (PüG; SR 942.20) nichts daran, dass die Kantone zur Missbrauchsgesetzgebung im Zinswesen befugt bleiben. Das Preisüberwachungsgesetz ist wettbewerbspolitisch ausgerichtet. Es erfasst Missbräuche, welche auf Marktmacht von Kartellen oder kartellähnlichen Organisationen zurückgehen (vgl. Art. 2 und 12 PüG ). Damit wird aber die Spannweite möglicher Missbräuche nicht abgedeckt. Wie es sich bei einem allfälligen Inkrafttreten eines Bundesgesetzes über den Konsumkredit (Botschaft des Bundesrates, BBl 1993 I 915 ff.) verhält, ist hier nicht zu beurteilen.</w:t>
      </w:r>
    </w:p>
    <w:p>
      <w:r>
        <w:rPr>
          <w:b/>
        </w:rPr>
        <w:t>E. 5</w:t>
      </w:r>
    </w:p>
    <w:p>
      <w:r>
        <w:t>a) Besteht im Bundesrecht keine abschliessende Regelung, so stellt sich weiter die Frage, ob die Festsetzung eines Höchstzinsfusses auf 15% einem schutzwürdigen öffentlichen Interesse entspricht und mit Sinn und Geist des Bundeszivilrechts vereinbar sei. Das Vorliegen dieser Voraussetzungen für die expansive Kraft des kantonalen öffentlichen Rechts ist durch das Bundeszivilrecht selbst anerkannt, soweit der Rahmen des besonderen Vorbehalts von Art. 73 Abs. 2 OR , welcher sich auf den Missbrauch im Zinswesen bezieht, gewahrt bleibt (HUBER, a.a.O., N. 211 zu Art. 6 ZGB ). b) Die Beschwerdeführer sind der Meinung, Missbrauch im Zinswesen könne nur vorliegen, wenn der Darleiher überhöhte Profite erwirtschafte. Das sei aber im Konsumkreditwesen auch bei einem Zinssatz von 18% nicht der Fall. Sie verweisen auf ein Gutachten des Instituts für Bankwirtschaft an der Hochschule St. Gallen, wonach die Gewinnschwelle des durchschnittlichen Konsumkreditanbieters im Jahre 1988 bei Refinanzierungskosten von damals 3,3% bei 10,4% gelegen habe. Da die Refinanzierungskosten seit 1988 um 4-5% gestiegen seien, liege heute (Zeitpunkt der Beschwerdeeinreichung: BGE 119 Ia 59 S. 65 Februar 1992) die Gewinnschwelle bei 15%. (In der Zwischenzeit dürften die Kosten, die behauptete Steigerung unterstellt, wieder gesunken sein.) Der Regierungsrat hält diesen Angaben entgegen, die Konsumkreditinstitute würden sich vorwiegend über Sparhefte und Kassenobligationen refinanzieren. Die Zinsen für Sparhefte lägen (Stand September 1992, d.h. noch vor der jüngsten Zinsentspannung) zwischen 5 und 6,5%, diejenigen für Kassenobligationen zwischen 6,75 und 7,75%. Das erlaube auch bei einer Höchstkostengrenze von 15% eine gewinnbringende Ausübung des Konsumkreditgewerbes. c) Es stellt sich allerdings die Frage, ob sich der Vorbehalt zugunsten des öffentlichen Rechts auf die Verhinderung von überhöhten Profiten beschränkt. Das Bundesgericht hatte in BGE 69 I 171 zu beurteilen, ob der damalige Höchstzinssatz von 18% im Kanton Zürich mit der derogatorischen Kraft des Bundesrechts vereinbar sei. Es hat dabei unter Missbräuchen im Zinswesen die Ausbedingung wucherischer oder offensichtlich übermässiger Zinsen verstanden, wobei allerdings zwischen einem älteren und einem moderneren Wucherbegriff unterschieden werden müsse. Während der letztere auf die wirtschaftliche Angemessenheit abstelle, habe historisch als wucherisch schon die Ausbedingung von Zinsen überhaupt oder aber die Überschreitung eines gesetzlich festgelegten Zinsmaximums gegolten. Die aufgrund des Vorbehalts von Art. 73 Abs. 2 OR statuierten Zinsmaxima basierten auf diesem älteren Wucherbegriff, was den Vorteil der Einfachheit habe und die Bekämpfung des Wuchers erleichtere. Damit würden zwar zwangsläufig auch Geschäfte getroffen, welche wirtschaftlich betrachtet - etwa bei kleineren Krediten mit vergleichsweise hohen Unkosten - nicht zu beanstanden wären. Weil das aber unvermeidlich sei, wenn die festgelegte Schranke nicht wirkungslos bleiben solle, könne ein vom kantonalen Gesetzgeber statuiertes Zinsmaximum erst dann als zu niedrig und mit Art. 73 Abs. 2 OR unvereinbar erscheinen, wenn damit unnötigerweise auch Darlehensgeschäfte mit normalen einwandfreien Vergütungen getroffen würden. d) Wird auf die Kostenberechnungen der Beschwerdeführer abgestellt, so könnte zweifelhaft erscheinen, ob der vom Gesetzgeber des Kantons Zürich neu festgelegte Höchstzinssatz von 15% nicht im Übermass Geschäfte trifft, welche wirtschaftlich betrachtet nicht beanstandet werden könnten. Indessen ist zu beachten, dass die Höhe des Gewinns im Konsumkreditgeschäft von verschiedenen Faktoren abhängig ist, unter anderem von den Inkassokosten und den BGE 119 Ia 59 S. 66 Debitorenverlusten, welche grundsätzlich der Steuerung durch die Praxis der Kreditgewährung zugänglich sind. Was im Zinswesen missbräuchlich ist, kann daher nicht allein von den konkreten Kostenstrukturen des jeweiligen Darlehensgebers abhängig sein und auch nicht von den Kostenstrukturen der Branche insgesamt. Der Zürcher Gesetzgeber reduzierte den Höchstzinssatz aber nicht nur deshalb, weil er Kreditkosten, welche 15% übersteigen, als unangemessen und aus diesem Grund als missbräuchlich erachtete. Es ging ihm auch darum, Konsumkreditnehmer vor übermässiger Verschuldung zu schützen. In der Vernehmlassung an das Bundesgericht führt der Regierungsrat dazu aus, der Konsumkredit ermögliche es breiten Schichten, jederzeit sofort in den Genuss von Gütern und Dienstleistungen zu gelangen, ohne gleichzeitig den vollen Gegenwert aufbringen zu müssen. Die Möglichkeit, über die vorhandene Kaufkraft hinaus zu konsumieren, könne den Verbraucher verleiten, sich zunehmend mit Schulden zu belasten und so in Abhängigkeit von fremden Mitteln zu geraten. Die Verschuldung könne für den einzelnen zu Schwierigkeiten führen, die sich auf Familie und Gesellschaft nachteilig auswirken würden. In dieser Perspektive war für den Gesetzgeber, wie den parlamentarischen Voten entnommen werden kann, die Überzeugung wegleitend, dass bei tieferen Höchstzinssätzen die Bonität der Kreditnehmer sorgfältiger geprüft und so verhindert werde, dass diese sich über ihre Möglichkeiten hinaus belasten und verschulden würden. Als missbräuchlich wird damit ein 15% übersteigender Zins nicht allein wegen Inadäquanz von Leistung und Gegenleistung betrachtet, sondern auch deshalb, weil die Einräumung eines Kredites, welcher die Verzinsungs- und Amortisationsmöglichkeiten übersteigt, sozial schädliche Folgen hat. e) Die Problematik der Überschuldung in die Beurteilung einzubeziehen, ist mit Art. 73 Abs. 2 OR vereinbar. Werden Darlehen nur gewährt, wenn die Bonität ausser Zweifel steht, so erscheint ein Zins von 15% selbst bei hohen Refinanzierungskosten (wie sie in den letzten Jahren aufgetreten sind, heute aber nicht mehr bestehen) als genügend. Ein höherer Zinssatz kann insoweit als missbräuchlich erklärt werden. Es ist bezeichnend, dass die Beschwerdeführer selbst auf die im Konsumkreditgeschäft hohen Aufwendungen im Bereich des Inkassowesens hinweisen. Diese muss der Gesetzgeber, genau gleich wie auch den hohen Werbeaufwand der Branche, nicht als unabänderlich hinnehmen. Er darf bei Festsetzung des Maximalzinses davon ausgehen, dass die finanziellen Möglichkeiten beim Darlehensnehmer mit grösster Sorgfalt geprüft und Kredite mit Zurückhaltung BGE 119 Ia 59 S. 67 gewährt werden. Damit wird auch verhindert, dass Darlehensnehmer, die in der Lage und bereit sind, Zins und Amortisation fristgerecht zu leisten, an die Kosten beitragen müssen, welche durch den Abschluss von zweifelhaften Geschäften verursacht werden. Natürlich könnte - von einem rein wirtschaftlichen Standpunkt aus - der Abschluss eines Geschäftes mit hohem Bonitätsrisiko einen 15% weit übersteigenden Zins rechtfertigen. Der Gesetzgeber kann aber gerade solche Geschäfte als missbräuchlich betrachten, weil sie beim Darlehensnehmer zur Überschuldung führen und die Gewährung von Krediten verteuern. Schliesslich bleibt anzuführen, dass Art. 73 Abs. 2 OR den Kantonen für die Festsetzung des Maximalzinsfusses Spielraum lässt und nicht schon von Bundesrechts wegen bestimmt ist, ob die Missbrauchsgrenze bei 15 oder 18% anzusetzen ist. Der Grundsatz der derogatorischen Kraft des Bundesrechts ist aus diesen Gründen nicht verletzt. f) Daran würde sich auch nichts ändern, wenn man der Auffassung wäre, Art. 73 Abs. 2 OR verstehe als missbräuchlich einzig die Inadäquanz von Leistung und Gegenleistung zulasten des Darlehensnehmers, während die Zielsetzung, der Überschuldung entgegenzuwirken, über den Rahmen dieses besonderen Vorbehalts für das öffentliche Recht hinausgehe. Diesfalls wäre im Lichte von Art. 6 ZGB zu entscheiden, ob eine Verletzung der derogatorischen Kraft des Bundesrechts vorliegt. Bedeutung käme dabei der Frage zu, ob es sich bei der getroffenen Regelung um öffentliches Recht handelt. Das ist - anders als beim besonderen Vorbehalt von Art. 73 Abs. 2 OR - nicht schon vom Bundesgesetzgeber selbst entschieden. Es ist indessen gerade dann unproblematisch, die Regelung von § 213 EG ZGB als öffentliches Recht und nicht als Privatrecht zu qualifizieren, wenn damit nicht ein Ausgleich der Interessen von Kreditgeber und -nehmer (Adäquanz des Leistungsverhältnisses) angestrebt, sondern der Überschuldung breiter Kreise der Bevölkerung entgegengewirkt werden soll. Ebenso sind die weiteren Voraussetzungen für die expansive Kraft des kantonalen öffentlichen Rechts ohne weiteres gegeben.</w:t>
      </w:r>
    </w:p>
    <w:p>
      <w:r>
        <w:rPr>
          <w:b/>
        </w:rPr>
        <w:t>E. 6</w:t>
      </w:r>
    </w:p>
    <w:p>
      <w:r>
        <w:t>a) Die Beschwerdeführer machen weiter geltend, die Herabsetzung des Maximalzinsfusses verstosse gegen die Handels- und Gewerbefreiheit. Auf dieses Grundrecht können sie sich berufen, denn die Ausübung einer Tätigkeit zum Zweck, einen Gewinn zu erzielen, fällt grundsätzlich in dessen Schutzbereich. Die Kantone dürfen die Handels- und Gewerbefreiheit indessen beschränken, denn Art. 31 Abs. 2 BV behält kantonale Bestimmungen über die BGE 119 Ia 59 S. 68 Ausübung von Handel und Gewerben vor. Zulässig sind neben polizeilich motivierten Massnahmen namentlich auch sozialpolitisch begründete Einschränkungen. Sie bedürfen einer gesetzlichen Grundlage, müssen durch ein überwiegendes öffentliches Interesse gerechtfertigt sein und die Grundsätze der Verhältnismässigkeit sowie der Rechtsgleichheit (namentlich im Sinne der Wettbewerbsneutralität) achten ( BGE 118 Ia 167 E. 1 mit Hinweisen). b) Die gesetzliche Grundlage steht vorliegend nicht in Frage, wird diese doch mit dem angefochtenen Erlass gerade geschaffen. Bei der Herabsetzung des Höchstzinssatzes auf 15% handelt es sich - wie bereits dargestellt - um eine vorwiegend sozialpolitisch motivierte Massnahme. Diese liegt ohne weiteres im öffentlichen Interesse, soweit sie darauf abzielt, eine übermässige Verschuldung der Darlehensnehmer zu vermeiden. Eine andere Frage ist es, ob die getroffene Massnahme geeignet und erforderlich ist, das angestrebte Ziel zu erreichen, das heisst, ob sie mit dem Grundsatz der Verhältnismässigkeit vereinbar sei. c) Die Beschwerdeführer machen geltend, die Zielsetzung des Gesetzgebers, nämlich eine verbesserte Prüfung der Bonität und eine zurückhaltendere Praxis bei der Gewährung von Darlehen, lasse sich mit der getroffenen Massnahme nicht erreichen. Ganz im Gegenteil hätten tiefere Zinsmaxima zur Folge, dass die Kreditwürdigkeit gar nicht mehr geprüft würde, um die damit zusammenhängenden Kosten zu vermeiden. Bei tieferen Zinssätzen sei überdies der Anreiz zur Verschuldung des Konsumenten grösser. Für die Annahme des Gesetzgebers, dass bei tieferen Maximalzinssätzen die finanziellen Möglichkeiten beim Darlehensnehmer sorgfältiger geprüft und Bonitätsrisiken zurückhaltender eingegangen würden, bestehen allerdings gute Gründe, denn damit können die Debitorenverluste und insbesondere auch die Inkassokosten gesenkt werden. Insoweit erscheinen die getroffenen Massnahmen zur Erreichung des gesetzlichen Ziels, nämlich der Überschuldung entgegenzuwirken, als geeignet. Es ist allerdings grundsätzlich festzuhalten, dass sich künftiges Verhalten der Wirtschaftssubjekte nicht mit Sicherheit vorherbestimmen lässt; daher ist auch nicht gänzlich auszuschliessen, dass die Herabsetzung des Maximalzinsfusses die von den Beschwerdeführern prognostizierte Wirkung haben könnte. Es liegt aber am Gesetzgeber, gegebenenfalls die nötigen Anpassungen vorzunehmen. Die blosse Möglichkeit, dass getroffene Massnahmen nicht die erwünschte Wirkung zeitigen werden, reicht nicht aus, ein Gesetz als verfassungswidrig zu erklären. BGE 119 Ia 59 S. 69 Soweit die Beschwerdeführer geltend machen, die Herabsetzung des Höchstzinses sei zur Erreichung des gesetzgeberischen Ziels nicht erforderlich, legen sie nicht dar, welche milderen Mittel dem Gesetzgeber zur Verfügung stünden. d) Schliesslich tragen die Beschwerdeführer unter dem Gesichtspunkt der Verhältnismässigkeit vor, ein Maximalzins von 15% treffe die Konsumkreditinstitute in existentieller Weise und sei deshalb unzumutbar. Sie vermögen das aber nicht nachzuweisen. Soweit sie geltend machen, ein Gewinn könne erst ab einem Zinssatz von 15% erzielt werden, basieren diese Vorbringen auf den gegenwärtigen Kostenstrukturen der Branche, welche - wie bereits dargelegt - nicht als unabänderlich zugrundegelegt werden können. Es liegt in der Verantwortung der Unternehmen, bei veränderten Rahmenbedingungen, wie dies eine Neufestlegung des Höchstzinssatzes ist, die nötigen Anpassungen bei der Gewährung von Krediten vorzunehmen und die Geschäftspraxis entsprechend zu ändern. Wirtschaftspolitischer Natur ist die Änderung des Höchstzinssatzes deshalb nicht. Sie betrifft die Konsumkredite insgesamt und ist wettbewerbsneutral. Nicht auszuschliessen ist freilich, dass der Höchstsatz von 15% verfassungsrechtliche Probleme aufwerfen könnte, wenn das allgemeine Zinsniveau steigen würde und die Refinanzierungskosten deshalb erheblich höher veranschlagt werden müssten, als dies bisher der Fall war. Diese Problematik ist aber nicht eine solche des von den Beschwerdeführern beanstandeten Satzmasses, sondern des fixen Maximalsatzes schlechthin. Rechtspolitisch mag deshalb eine flexiblere Lösung vorzuziehen sein. So könnte die Festlegung des jeweils massgebenden Maximalsatzes beispielsweise an die Exekutive delegiert werden, welche ihren Entscheid an einem Leitsatz auszurichten hätte. Indessen sind die Kantone auf ein solches Vorgehen verfassungsrechtlich nicht verpflichtet; mit starren Sätzen laufen sie lediglich Gefahr, dass ihre Regelung verfassungswidrig und damit unbeachtlich werden könnte, sofern sie nicht in der Lage sind, bei erheblich verändertem Zinsgefüge ihre Gesetzgebung anzupassen.</w:t>
      </w:r>
    </w:p>
    <w:p>
      <w:r>
        <w:rPr>
          <w:b/>
        </w:rPr>
        <w:t>E. 7</w:t>
      </w:r>
    </w:p>
    <w:p>
      <w:r>
        <w:t>Die Beschwerdeführer rügen schliesslich eine Verletzung des Gebots der Rechtsgleichheit, weil für kommerzielle Kredite weiterhin ein Höchstsatz von 18% gilt und weil dieser Satz in anderen Kantonen weiterhin auch für Konsumkredite massgebend sei. Indessen führt der Regierungsrat mit Recht aus, dass bei kommerziellen Krediten das Bedürfnis des Sozialschutzes nicht gegeben ist; das rechtfertigt die vorgenommene Differenzierung. Kantonal BGE 119 Ia 59 S. 70 unterschiedliche Lösungen sind sodann die Folge davon, dass im Bundesrecht bisher eine Regelung der Problematik unterblieben ist. Gesetze, die im Rahmen der kantonalen Kompetenzen erlassen werden, sind nicht deshalb verfassungswidrig, weil andere Kantone anders oder gar nicht legiferiert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