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411 vom 1. Januar 1993</w:t>
      </w:r>
    </w:p>
    <w:p>
      <w:r>
        <w:t>Bundesgericht (BGE), 1993-01-01, DE</w:t>
      </w:r>
    </w:p>
    <w:p>
      <w:r>
        <w:rPr>
          <w:b/>
        </w:rPr>
        <w:t xml:space="preserve">Quelle: </w:t>
      </w:r>
      <w:r>
        <w:t>https://mcp.opencaselaw.ch/entscheid/bge_BGE_119_IA_411</w:t>
      </w:r>
    </w:p>
    <w:p>
      <w:r>
        <w:t>FR: BGE BGE 119 IA 411 du 1 janvier 1993</w:t>
      </w:r>
    </w:p>
    <w:p>
      <w:r>
        <w:t>IT: BGE BGE 119 IA 411 del 1 gennaio 1993</w:t>
      </w:r>
    </w:p>
    <w:p>
      <w:pPr>
        <w:pStyle w:val="Heading2"/>
      </w:pPr>
      <w:r>
        <w:t>Regeste</w:t>
      </w:r>
    </w:p>
    <w:p>
      <w:r>
        <w:t>Regeste Art. 6 Ziff. 1 EMRK, Art. 4 und 22ter BV; gerichtliche Überprüfung einer Zonenplanänderung, die von einer Gemeindeexekutive erlassen und von einer Kantonsregierung genehmigt worden ist. 1. Zulässigkeit der Planungsmassnahme; Zuweisung von Grundstücksteilen in die Grünzone, Nichteinzonung in die Bauzone (E. 2). Interessenabwägung (E. 3). 2. Der Kognitionsbeschränkung des Bundesgerichts hinsichtlich der Sachverhaltsüberprüfung kommt vorliegend keine Bedeutung zu, da die für die Beurteilung der fraglichen Planungsmassnahme erheblichen Tatsachen nicht bestritten sind. Die richterliche Zurückhaltung bei der Beurteilung des Planungsermessens widerspricht Art. 6 Ziff. 1 EMRK nicht; sie steht der nach dieser Bestimmung verlangten und durch das Bundesgericht denn auch vorgenommenen umfassenden Rechtsanwendungskontrolle nicht entgegen. Sodann ist im staatsrechtlichen Beschwerdeverfahren ebenfalls dem Öffentlichkeitsgrundsatz angemessen Nachachtung verschafft worden (E. 5).</w:t>
      </w:r>
    </w:p>
    <w:p>
      <w:r>
        <w:t>Regeste Art. 6 par. 1 CEDH, art. 4 et 22ter Cst.; contrôle judiciaire de la modification d'un plan de zones, ordonnée par l'autorité exécutive communale et approuvée par le gouvernement cantonal. 1. Caractère admissible de la mesure de planification; classement d'une partie des biens-fonds dans une zone verte, refus de classement dans la zone à bâtir (consid. 2). Pesée des intérêts en présence (consid. 3). 2. Le Tribunal fédéral ne revoit les constatations de fait qu'avec une cognition limitée; cela ne joue toutefois pas de rôle en l'espèce, les éléments de fait décisifs pour l'appréciation de la mesure de planification litigieuse n'étant pas contestés. La réserve que s'imposent les tribunaux dans le contrôle du pouvoir d'appréciation laissé à l'autorité de planification ne heurte pas l'art. 6 par. 1 CEDH; elle n'empêche pas un contrôle complet de la légalité de la mesure, exigée par cette disposition, et que le Tribunal fédéral exerce d'ailleurs pleinement. De même, le principe de la publicité a été respecté dans la procédure du recours de droit public (consid. 5).</w:t>
      </w:r>
    </w:p>
    <w:p>
      <w:r>
        <w:t>Regesto Art. 6 n. 1 CEDU, art. 4 e 22ter Cost.; controllo giudiziario della modifica di un piano regolatore, ordinata dall'autorità esecutiva comunale e approvata dal governo cantonale. 1. Ammissibilità della misura di pianificazione; inserimento di una parte dei fondi in zona verde e rifiuto di inserirli in zona edificabile (consid. 2). Ponderazione degli interessi in gioco (consid. 3). 2. La cognizione limitata di cui dispone il Tribunale federale riguardo le questioni di fatto non gioca nessun ruolo nella fattispecie, in quanto gli elementi di fatto decisivi per l'apprezzamento della misura pianificatoria litigiosa non sono contestati. La riserva che si impongono i tribunali nell'ambito del controllo del potere di apprezzamento lasciato all'autorità di pianificazione non è contrario all'art. 6 n. 1 CEDU; essa non impedisce un controllo completo della legalità della misura imposta da questa disposizione e peraltro esercitata pienamente dal Tribunale federale. Pertanto il principio della pubblicità è stato rispettato nella procedura di ricorso di diritto pubblico (consid. 5).</w:t>
      </w:r>
    </w:p>
    <w:p>
      <w:pPr>
        <w:pStyle w:val="Heading2"/>
      </w:pPr>
      <w:r>
        <w:t>Erwägungen</w:t>
      </w:r>
    </w:p>
    <w:p>
      <w:r>
        <w:rPr>
          <w:b/>
        </w:rPr>
        <w:t>E. 1</w:t>
      </w:r>
    </w:p>
    <w:p>
      <w:r>
        <w:t>(Prüfung der Eintretensvoraussetzungen. Streitgegenstand bildet nur die zonenrechtliche Behandlung der Parzelle Nr. 98 des Beschwerdeführers. Diesbezüglich steht nach Art. 34 Abs. 3 RPG einzig die staatsrechtliche Beschwerde an das Bundesgericht offen. Ob diese Planungsmassnahme eine materielle Enteignung bewirkt, ist nicht Gegenstand des vorliegenden Verfahrens. Zur Beurteilung dieser Frage sieht das Gesetz vom 6. Juni 1972 über die Raumplanung und das öffentliche Baurecht des Kantons St. Gallen [BauG] in Art. 125 ein besonderes Verfahren vor, in welchem als letzte kantonale Instanz das Verwaltungsgericht vorgesehen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