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374 vom 1. Januar 1993</w:t>
      </w:r>
    </w:p>
    <w:p>
      <w:r>
        <w:t>Bundesgericht (BGE), 1993-01-01, DE</w:t>
      </w:r>
    </w:p>
    <w:p>
      <w:r>
        <w:rPr>
          <w:b/>
        </w:rPr>
        <w:t xml:space="preserve">Quelle: </w:t>
      </w:r>
      <w:r>
        <w:t>https://mcp.opencaselaw.ch/entscheid/bge_BGE_119_IA_374</w:t>
      </w:r>
    </w:p>
    <w:p>
      <w:r>
        <w:t>FR: BGE BGE 119 IA 374 du 1 janvier 1993</w:t>
      </w:r>
    </w:p>
    <w:p>
      <w:r>
        <w:t>IT: BGE BGE 119 IA 374 del 1 gennaio 1993</w:t>
      </w:r>
    </w:p>
    <w:p>
      <w:pPr>
        <w:pStyle w:val="Heading2"/>
      </w:pPr>
      <w:r>
        <w:t>Regeste</w:t>
      </w:r>
    </w:p>
    <w:p>
      <w:r>
        <w:t>Regeste Art. 4, 31, 33 BV; Art. 5 ÜbBest. BV; Bewilligung zur Ausübung des Anwaltsberufes. Die Kantone können die Berufsausübungsbewilligung von der Erfüllung persönlicher Voraussetzungen und namentlich von der Vertrauenswürdigkeit des Bewerbers abhängig machen. Das Verhalten in anderen Kantonen, wo der Bewerber bereits eine Zulassungsbewilligung besitzt, kann berücksichtigt werden.</w:t>
      </w:r>
    </w:p>
    <w:p>
      <w:r>
        <w:t>Regeste Art. 4, 31, 33 Cst.; art. 5 Disp. trans. Cst.; autorisation d'exercer la profession d'avocat. Les cantons peuvent faire dépendre l'autorisation d'exercer la profession de la réalisation de conditions personnelles, notamment de l'honorabilité du candidat. Sa conduite dans d'autres cantons, où il bénéficie déjà d'une telle autorisation, peut être prise en considération.</w:t>
      </w:r>
    </w:p>
    <w:p>
      <w:r>
        <w:t>Regesto Art. 4, 31, 33 Cost.; art. 5 Disp. trans. Cost.; autorizzazione a esercitare la professione di avvocato. I Cantoni possono subordinare la concessione di un'autorizzazione di esercizio professionale all'adempimento di requisiti personali, in particolare quello della moralità del candidato. La sua condotta in altri Cantoni, dove già dispone di una tale autorizzazione, può essere presa in considerazione.</w:t>
      </w:r>
    </w:p>
    <w:p>
      <w:pPr>
        <w:pStyle w:val="Heading2"/>
      </w:pPr>
      <w:r>
        <w:t>Erwägungen</w:t>
      </w:r>
    </w:p>
    <w:p>
      <w:r>
        <w:rPr>
          <w:b/>
        </w:rPr>
        <w:t>E. 2</w:t>
      </w:r>
    </w:p>
    <w:p>
      <w:r>
        <w:t>a) Der Beschwerdeführer macht vorab eine Verletzung von Art. 5 ÜbBest. BV geltend. Diese Bestimmung steht im Zusammenhang mit Art. 33 BV . Nach dessen Abs. 1 ist den Kantonen anheimgestellt, die Ausübung der wissenschaftlichen Berufsarten von einem Ausweis der Befähigung abhängig zu machen; gemäss Abs. 2 ist auf dem Weg der Bundesgesetzgebung dafür zu sorgen, dass derartige Ausweise für die ganze Eidgenossenschaft gültig erworben werden können. Solange eine solche bundesrechtliche Regelung fehlt, und so verhält es sich für den Anwaltsberuf bis heute, soll gemäss Art. 5 ÜbBest. BV der in einem Kanton erlangte Befähigungsausweis zur Berufsausübung in der ganzen Schweiz berechtigen. Diese Freizügigkeitsgarantie erstreckt sich nach der bundesgerichtlichen Rechtsprechung auf die beruflichen Fachkenntnisse, belässt den Kantonen aber die Kompetenz zu prüfen, ob die nach ihren Vorschriften erforderlichen weiteren Voraussetzungen für die Zulassung zum Anwaltsberuf erfüllt sind ( BGE 119 Ia 36 f. mit Zitaten). Dabei sind die Grundsätze der Handels- und Gewerbefreiheit zu wahren. Nach der ständigen Rechtsprechung des Bundesgerichts steht der Anwalt unter dem Schutze von Art. 31 BV , ebenso wie die Angehörigen anderer liberaler Berufe und alle übrigen Personen, die einer privatwirtschaftlichen Erwerbstätigkeit nachgehen. Einschränkungen der Handels- und Gewerbefreiheit müssen auf einer gesetzlichen Grundlage beruhen, im öffentlichen Interesse liegen und die Grundsätze der Verhältnismässigkeit sowie der Rechtsgleichheit beachten. Ob das kantonale Recht hinsichtlich der angefochtenen BGE 119 Ia 374 S. 376 Beschränkung eine genügende gesetzliche Grundlage enthält, prüft das Bundesgericht nur unter dem beschränkten Gesichtswinkel der Willkür, wenn es um einen leichten Eingriff in die Handels- und Gewerbefreiheit geht. Hingegen prüft das Bundesgericht grundsätzlich frei, ob die Massnahme auf einem überwiegenden öffentlichen Interesse beruht und verhältnismässig ist ( BGE 118 Ia 177 E. 2a, 181 E. 3a, mit Hinweisen). b) Im Interesse des Schutzes des rechtsuchenden Publikums dürfen die Kantone die Bewilligung zur Ausübung des Anwaltsberufes von der Erfüllung persönlicher Voraussetzungen des Bewerbers abhängig machen. Namentlich dürfen sie die Vertrauenswürdigkeit des Bewerbers berücksichtigen ( BGE 111 Ia 105 f.; 98 Ia 598 ; BGE 71 I 377 f.). Die Zulassungsbehörde hat nach pflichtgemässem Ermessen zu prüfen, ob die Voraussetzungen zur Erteilung der Berufsausübungsbewilligung erfüllt sind. Dabei kann sie allerdings die persönlichen Voraussetzungen wie die Vertrauenswürdigkeit im allgemeinen nicht aus eigener Anschauung beurteilen. Sie ist daher darauf angewiesen, die notwendigen Schlüsse aus dem persönlichen und beruflichen Verhalten des Bewerbers im Kanton, wo er seinen Beruf in erster Linie ausübt, sowie in den übrigen Kantonen, wo er eine Zulassungsbewilligung besitzt, zu ziehen ( BGE 111 Ia 106 f.). Wurde der Bewerber in einem anderen Kanton rechtskräftig diszipliniert, so ist zu prüfen, ob Art und Schwere des Disziplinarfalles die Verweigerung der Zulassung zum Anwaltsberuf rechtfertigen. Tatbestände, welche zu Disziplinarbussen führen, sind im allgemeinen leichte Fälle, welche die Vertrauenswürdigkeit des Anwaltes nicht dauernd und nachhaltig beeinträchtigen. Die Vertrauenswürdigkeit des Anwaltes kann jedoch auch bei Vorliegen einer Disziplinarbusse erschüttert sein; namentlich dann, wenn der Bewerber bereits mehrmals disziplinarisch bestraft werden musste und diese Vorfälle nicht weit zurückliegen.</w:t>
      </w:r>
    </w:p>
    <w:p>
      <w:r>
        <w:rPr>
          <w:b/>
        </w:rPr>
        <w:t>E. 3</w:t>
      </w:r>
    </w:p>
    <w:p>
      <w:r>
        <w:t>Vorliegend ist nicht streitig, dass der Beschwerdeführer aufgrund der abgelegten Anwaltsprüfung die wissenschaftlichen Voraussetzungen für die Ausübung des Anwaltsberufes im Kanton Bern erfüllt. In Frage steht einzig, ob diese dem Beschwerdeführer im Kanton Bern deshalb verweigert werden kann, weil seine berufliche Vertrauenswürdigkeit (Art. 8 Abs. 1 des bernischen Gesetzes vom 6. Februar 1984 über die Fürsprecher) erschüttert ist. Gemäss Art. 7 Abs. 1 des genannten Gesetzes ist die Bewilligung zur Berufsausübung im Kanton Bern zu erteilen, wenn der Gesuchsteller in seiner bisherigen Tätigkeit als Anwalt weder erheblich noch BGE 119 Ia 374 S. 377 wiederholt diszipliniert worden ist, wobei Disziplinarmassnahmen, die mehr als zehn Jahre zurückliegen, ausser Betracht fallen. a) Das Obergericht verweigerte dem Beschwerdeführer die Bewilligung zur Berufsausübung im Kanton Bern mit der Begründung, der Beschwerdeführer sei von der Aufsichtskommission des Kantons St. Gallen mit Fr. 200.-- gebüsst worden, weil er in schwerwiegender Weise gegen Art. 11 und 6 der Anwaltsordnung dieses Kantones verstossen habe und eine grobe Pflichtverletzung offenkundig sei. Im angefochtenen Entscheid wies es zudem auf möglicherweise angespannte finanzielle Verhältnisse des Beschwerdeführers hin, die es im Entscheid über das Wiedererwägungsgesuch jedoch wiederum relativierte: Massgebend sei der Umstand, dass der Beschwerdeführer wegen pflichtwidrigen Verhaltens habe gebüsst werden müssen. b) Aus den Akten ergibt sich einzig die erwähnte Disziplinarbusse von Fr. 200.--. Nach Art. 62 Abs. 5 des damals geltenden sanktgallischen Gesetzes vom 20. März 1939 über die Zivilrechtspflege konnte die Aufsichtskommission bei grober Pflichtverletzung Rügen aussprechen oder Ordnungsstrafen bis zu Fr. 500.-- verhängen oder den Antrag auf Entziehung des Patentes oder Einstellung im Berufe beim Kantonsgericht einbringen. Obwohl die Aufsichtskommission die Pflichtverletzung des Beschwerdeführers als grob qualifizierte, hat sie mit der Ausfällung einer Busse von Fr. 200.-- eine verhältnismässig milde Sanktion getroffen und den Bussenrahmen nicht einmal zur Hälfte ausgeschöpft. Freilich sind auch die konkreten Umstände, welche zu dieser Busse führten, zu prüfen. Der Beschwerdeführer leitete gemäss dem Entscheid der Aufsichtskommission zweimal einkassierte Gelder verspätet weiter, so dass er gemahnt werden musste. Auch ermangelte den Abrechnungen des Beschwerdeführers die Übersichtlichkeit, indem er in einem Fall Fr. 524.-- grundlos zurückbehielt. Schliesslich machte er in einem Fall falsche Angaben über seine Mandatsführung und verstiess in grober Weise gegen Regeln des Anstandes gegenüber einem ausländischen Kollegen. c) Diese Vorwürfe vermögen wohl Zweifel an der Vertrauenswürdigkeit des Beschwerdeführers zu erwecken. Doch fragt sich, ob die Verhältnismässigkeit gewahrt ist, wenn allein deswegen die Berufsausübungsbewilligung verweigert wird. Nach dem Verhältnismässigkeitsprinzip darf der Eingriff in die Handels- und Gewerbefreiheit keine Wirkungen hervorrufen, die weitergehen, als der Zweck der Massnahme es erfordert. Behördliche Einschränkungen BGE 119 Ia 374 S. 378 sind nur zulässig, soweit sie nicht über das von der Sache her Notwendige hinausgehen sowie in räumlicher, zeitlicher und persönlicher Sicht nicht übermässig sind ( BGE 117 Ia 446 E. 4a mit Hinweis). In dieser Hinsicht ist zu beachten, dass seit den Verstössen des Beschwerdeführers und dem Entscheid der Aufsichtskommission bereits längere Zeit verstrichen ist, ohne dass weitere Pflichtwidrigkeiten des Beschwerdeführers aktenkundig geworden wären. Auch liess die Aufsichtskommission des Kantons St. Gallen trotz der von ihr als "grobe Pflichtverletzungen" qualifizierten Vorfälle es bei einer Busse von Fr. 200.-- bewenden. Wohl ist der Nichtdomizilkanton beim Entscheid über die Erteilung der Berufsausübungsbewilligung nicht an den Entscheid des Domizilkantons gebunden. (Der Meinung des Beschwerdeführers, dass ein Drittkanton die Art. 31 und 33 BV verletze, wenn er schärfere Sanktionen ausfälle als der Domizilkanton, kann so nicht gefolgt werden.) Aufgrund der Würdigung der gesamten Sachlage lässt es sich indessen nicht rechtfertigen, dem Beschwerdeführer die Berufsausübungsbewilligung gestützt auf die erwähnten Vorfälle zu verweigern. Der angefochtene Entscheid des Obergerichts des Kantons Bern, mit welchem das Gesuch des Beschwerdeführers um Erteilung der allgemeinen Berufsausübungsbewilligung abgewiesen wurde, widerspricht deshalb dem Grundsatz der Verhältnismässigkeit und damit der Handels- und Gewerbefreiheit.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