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134 vom 1. Januar 1993</w:t>
      </w:r>
    </w:p>
    <w:p>
      <w:r>
        <w:t>Bundesgericht (BGE), 1993-01-01, DE</w:t>
      </w:r>
    </w:p>
    <w:p>
      <w:r>
        <w:rPr>
          <w:b/>
        </w:rPr>
        <w:t xml:space="preserve">Quelle: </w:t>
      </w:r>
      <w:r>
        <w:t>https://mcp.opencaselaw.ch/entscheid/bge_BGE_119_IA_134</w:t>
      </w:r>
    </w:p>
    <w:p>
      <w:r>
        <w:t>FR: BGE BGE 119 IA 134 du 1 janvier 1993</w:t>
      </w:r>
    </w:p>
    <w:p>
      <w:r>
        <w:t>IT: BGE BGE 119 IA 134 del 1 gennaio 1993</w:t>
      </w:r>
    </w:p>
    <w:p>
      <w:pPr>
        <w:pStyle w:val="Heading2"/>
      </w:pPr>
      <w:r>
        <w:t>Regeste</w:t>
      </w:r>
    </w:p>
    <w:p>
      <w:r>
        <w:t>Regeste Unentgeltliche Verbeiständung eines bevormundeten Minderjährigen; Verhältnis zwischen der elterlichen und der staatlichen Fürsorge- und Beistandspflicht (Art. 4 BV; 272 ff. ZGB; 285 ZGB). 1. Zur allgemeinen Fürsorgepflicht der Eltern gehört, dass sie ihrem Kind im Rahmen ihrer finanziellen Mittel für ein Gerichtsverfahren Beistand leisten und ihm zu einer Rechtsverbeiständung verhelfen, soweit dies zur Wahrung seiner Rechte notwendig ist. Diese allgemeine Pflicht der Eltern ist unabdingbar mit dem Kindesverhältnis verbunden, verändert sich durch den Entzug der elterlichen Gewalt nicht und geht der aus Art. 4 BV abgeleiteten staatlichen Fürsorge- und Beistandspflicht vor (E. 4). 2. Dieser Grundsatz gilt unabhängig vom Anschein einer Interessenkollision zwischen dem bevormundeten Jugendlichen und seinen Eltern (E. 5).</w:t>
      </w:r>
    </w:p>
    <w:p>
      <w:r>
        <w:t>Regeste Assistance judiciaire gratuite d'un mineur pourvu d'un tuteur; rapports entre le devoir d'aide et d'assistance judiciaire des parents, d'une part, et celui de l'Etat, d'autre part (art. 4 Cst.; 272 ss CC; 285 CC). 1. Le devoir général d'aide des parents implique que, dans le cadre de leurs moyens financiers, ils prêtent assistance à leur enfant dans une procédure judiciaire et l'aident à se faire assister d'un avocat dans la mesure où cela est nécessaire à la sauvegarde de ses droits. Ce devoir général des parents est indissolublement lié à la filiation, n'est pas modifié par le retrait de l'autorité parentale et l'emporte sur le devoir d'aide et d'assistance judiciaire de l'Etat découlant de l'art. 4 Cst. (consid. 4). 2. Ce principe vaut indépendamment de l'apparence d'un conflit d'intérêts entre le mineur pourvu d'un tuteur et ses parents (consid. 5).</w:t>
      </w:r>
    </w:p>
    <w:p>
      <w:r>
        <w:t>Regesto Assistenza giudiziaria gratuita di un minore sotto tutela; rapporto fra il dovere di assistenza dei genitori e quello dello Stato (art. 4 Cost.; 272 segg. CC; 285 CC). 1. L'obbligo generale di assistenza dei genitori implica che essi, nei limiti dei loro mezzi finanziari, assistano il figlio in un procedimento giudiziario e l'aiutino a farsi assistere da un legale, in quanto ciò sia necessario per salvaguardare i suoi diritti. Questo dovere generale dei genitori è indissolubilmente legato al rapporto di filiazione, non si modifica con la privazione dell'autorità parentale e prevale sul dovere di assistenza statale sgorgante dall'art. 4 Cost. (consid. 4). 2. Questo principio vale indipendentemente dall'apparenza di un conflitto d'interessi tra il minorenne sotto tutela e i suoi genitori (consid. 5).</w:t>
      </w:r>
    </w:p>
    <w:p>
      <w:pPr>
        <w:pStyle w:val="Heading2"/>
      </w:pPr>
      <w:r>
        <w:t>Erwägungen</w:t>
      </w:r>
    </w:p>
    <w:p>
      <w:r>
        <w:rPr>
          <w:b/>
        </w:rPr>
        <w:t>E. 4</w:t>
      </w:r>
    </w:p>
    <w:p>
      <w:r>
        <w:t>Mit der unentgeltlichen Rechtspflege will der Staat den Rechtsunterworfenen eine gewisse "Waffengleichheit" gewährleisten; jeder Betroffene soll grundsätzlich ohne Rücksicht auf seine finanzielle Situation unter den durch die Rechtsprechung geschaffenen Voraussetzungen ( BGE 117 Ia 277 ff. mit Hinweisen) Zugang zum Gericht und Anspruch auf die Vertretung durch einen Rechtskundigen haben. Steht jedoch ein Minderjähriger in einem Verfahren, so folgt grundsätzlich aus der allgemeinen Fürsorgepflicht seiner Eltern (Art. 272, 274, 276 sowie 285 ZGB), dass diese ihrem Kind im Rahmen ihrer eigenen finanziellen Mittel für das Gerichtsverfahren Beistand zu leisten und ihm zu einer Rechtsverbeiständung zu verhelfen haben, soweit dies zur Wahrung seiner Rechte notwendig ist. Diese allgemeine Fürsorge- und Beistandspflicht ist unabdingbar mit dem Kindesverhältnis verbunden (vgl. STETTLER, Das Kindesrecht, in Schweizerisches Privatrecht, Band III/2, Basel 1992, S. 302 f., 317), verändert sich durch den Entzug der elterlichen Gewalt nicht und geht auf jeden Fall, wie das Verwaltungsgericht zutreffend erkannt hat, der staatlichen Fürsorge- und Beistandspflicht vor (vgl. BGE 106 II 287 ); dies entspricht im übrigen auch der allgemeinen Verwandtenunterstützungspflicht ( Art. 328 ZGB ) oder der im Eherecht vorgesehenen Lösung (zu letzterem vgl. HAUSHEER/REUSSER/GEISER, Kommentar zum Eherecht, Band 1, Bern 1988, N. 15 zu Art. 163 ZGB ). Im Entscheid 108 Ia 10 hat das Bundesgericht denn auch ausdrücklich festgehalten, dass für die Beurteilung der Bedürftigkeit eines Gesuchstellers grundsätzlich nur seine eigenen Einkünfte sowie allenfalls jene von ihm gegenüber unterstützungspflichtigen Personen (z.B. Eltern, Ehegatten) massgeblich sein können. Diesem Grundsatz hat das Verwaltungsgericht entsprochen. Sein Entscheid verstösst daher in keiner Weise gegen Art. 4 BV .</w:t>
      </w:r>
    </w:p>
    <w:p>
      <w:r>
        <w:rPr>
          <w:b/>
        </w:rPr>
        <w:t>E. 5</w:t>
      </w:r>
    </w:p>
    <w:p>
      <w:r>
        <w:t>Der Beschwerdeführer wendet dagegen ein, die staatliche Beistandspflicht gehe immer dann vor, wenn nur schon der konkrete Anschein einer Interessenkollision zwischen dem betroffenen Jugendlichen und seinen Eltern bestehe. Dieses Argument vermag im vorliegenden Fall schon deswegen nicht zu überzeugen, weil hier ohnehin und besonders im Falle einer Interessenkollision zwischen den Eltern und dem Beschwerdeführer der Vormund als aussenstehende Person und Inhaber der elterlichen Gewalt anzurufen gewesen wäre, der gegebenenfalls einen Anwalt hätte beauftragen oder BGE 119 Ia 134 S. 136 das Mandat zumindest nachträglich hätte genehmigen müssen, falls das Gesuch des Beschwerdeführers um Entlassung aus der Anstalt nicht von vornherein als aussichtslos erschienen wäre. Es kann nicht Sache des Staates sein, generell über den Kopf der zahlungsfähigen Eltern und des Vormundes hinweg für die Kosten des durch einen Jugendlichen beauftragten Anwalts aufzukommen. Dass das Rückgriffsrecht auf die Eltern besteht, lässt den vom Beschwerdeführer vertretenen Grundsatz nicht einleuchtender erscheinen. Zwar würde dann die Stellung des Jugendlichen verstärkt und das Verfahren insofern vereinfacht, als es dem Gericht ohne Prüfung der wirtschaftlichen Lage der Eltern nur obläge abzuklären, ob sich der Prozess als aussichtslos erweise oder die Schwierigkeit der Rechtsfragen die Zuordnung eines Anwaltes erfordere. Das ändert aber nichts daran, dass der dem Jugendlichen zu gewährende Rechtsschutz durch den vorgängigen Einbezug der Einkommens- und Vermögenslage der Eltern oder "die Auflage zur vorgängigen Evaluierung der finanziellen Unterstützung" - wie sich der Beschwerdeführer ausdrückt - in keiner Weise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