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214</w:t>
      </w:r>
    </w:p>
    <w:p>
      <w:r>
        <w:t>Bundesgericht (BGE), 1992-01-01, DE</w:t>
      </w:r>
    </w:p>
    <w:p>
      <w:r>
        <w:rPr>
          <w:b/>
        </w:rPr>
        <w:t xml:space="preserve">Quelle: </w:t>
      </w:r>
      <w:r>
        <w:t>https://mcp.opencaselaw.ch/entscheid/bge_BGE_118_V_214</w:t>
      </w:r>
    </w:p>
    <w:p>
      <w:r>
        <w:t>FR: ATF 118 V 214</w:t>
      </w:r>
    </w:p>
    <w:p>
      <w:r>
        <w:t>IT: DTF 118 V 214</w:t>
      </w:r>
    </w:p>
    <w:p>
      <w:pPr>
        <w:pStyle w:val="Heading2"/>
      </w:pPr>
      <w:r>
        <w:t>Regeste</w:t>
      </w:r>
    </w:p>
    <w:p>
      <w:r>
        <w:t>Regeste Art. 49 IVG; Art. 77 und 85 Abs. 3 IVV, Art. 88a Abs. 1 IVV in Verbindung mit Art. 78 AHVV, Art. 88bis Abs. 2 lit. b IVV; Art. 76 Abs. 1 AHVV: Wirkung der verspäteten Meldung einer Arbeitsaufnahme (Meldepflichtverletzung) auf die Rückerstattungspflicht. Die bis zum Eintreffen einer verspäteten Meldung bezüglich Arbeitsaufnahme unrechtmässig bezogenen Rentenbetreffnisse unterliegen grundsätzlich der Rückerstattungspflicht (Erw. 3a). Nicht mehr rückerstattungspflichtig sind die nach Eingang der verspäteten Meldung bezogenen Renten (Erw. 3b; Änderung der Rechtsprechung).</w:t>
      </w:r>
    </w:p>
    <w:p>
      <w:r>
        <w:t>Regeste Art. 49 LAI; art. 77 et 85 al. 3 RAI, art. 88a al. 1 RAI en corrélation avec l'art. 78 RAVS, art. 88bis al. 2 let. b RAI; art. 76 al. 1 RAVS: Effets de l'annonce tardive de la prise d'un emploi (violation de l'obligation d'annoncer) sur l'obligation de restituer. Sont en principe sujettes à restitution les rentes perçues à tort jusqu'au moment de l'annonce tardive de la prise d'un emploi (consid. 3a). Ne doivent plus être restituées les rentes perçues postérieurement à cette annonce tardive (consid. 3b; changement de jurisprudence).</w:t>
      </w:r>
    </w:p>
    <w:p>
      <w:r>
        <w:t>Regesto Art. 49 LAI; art. 77 e 85 cpv. 3 OAI, art. 88a cpv. 1 OAI in relazione con l'art. 78 OAVS, art. 88bis cpv. 2 lett. b OAI; art. 76 cpv. 1 OAVS: Effetti dell'annuncio tardivo di assunzione di impiego (violazione dell'obbligo di informare) sull'obbligo di restituire. Di principio sono soggette a restituzione le rendite indebitamente percepite sino al momento dell'annuncio tardivo di assunzione di impiego (consid. 3a). Non devono essere restituite le rendite ricevute dopo (consid. 3b; cambiamento di giurisprudenza).</w:t>
      </w:r>
    </w:p>
    <w:p>
      <w:pPr>
        <w:pStyle w:val="Heading2"/>
      </w:pPr>
      <w:r>
        <w:t>Erwägungen</w:t>
      </w:r>
    </w:p>
    <w:p>
      <w:r>
        <w:rPr>
          <w:b/>
        </w:rPr>
        <w:t>E. 1</w:t>
      </w:r>
    </w:p>
    <w:p>
      <w:r>
        <w:t>Es ist unter den Verfahrensbeteiligten zu Recht nicht bestritten, dass die am 1. September 1988 erfolgte Arbeitsaufnahme der Versicherten als Hilfe in der Küche und auf der Abteilung des Altersheims F. eine revisionsrechtlich erhebliche Tatsachenänderung darstellt, welche nach Massgabe von Art. 41 IVG in Verbindung mit Art. 88a Abs. 1 IVV die revisionsweise Aufhebung eines rentenbegründenden Invaliditätsgrades auf den 1. Dezember 1988 rechtfertigt. Streitig und zu prüfen ist aber, ob und inwieweit zufolge Meldepflichtverletzung bezüglich dieses IV-spezifischen Gesichtspunktes der Erwerbsaufnahme eine Rückerstattung zu erfolgen hat (Aufhebung der Leistungen ex tunc statt ex nunc, wie es für IV-spezifische Gesichtspunkte der Regel entspricht), und wer welche Rentenbetreffnisse zurückerstatten muss.</w:t>
      </w:r>
    </w:p>
    <w:p>
      <w:r>
        <w:rPr>
          <w:b/>
        </w:rPr>
        <w:t>E. 2</w:t>
      </w:r>
    </w:p>
    <w:p>
      <w:r>
        <w:t>a) Der Berechtigte oder sein gesetzlicher Vertreter sowie Behörden und Dritte, denen die Leistung zukommt, haben jede für den Leistungsanspruch wesentliche Änderung, so u.a. eine solche des Gesundheitszustandes und der Arbeits- oder Erwerbsfähigkeit, unverzüglich der Ausgleichskasse anzuzeigen ( Art. 77 Abs. 1 IVV ). Hat der Bezüger die Leistung unrechtmässig erwirkt oder die ihm zumutbare Meldepflicht nach Art. 77 IVV verletzt, so ist die Leistung rückwirkend (ex tunc) vom Eintritt der für den Anspruch erheblichen Änderung herabzusetzen oder aufzuheben ( Art. 85 Abs. 3 IVV ). Bei gutem Glauben und gleichzeitigem Vorliegen einer grossen Härte kann von der Rückforderung abgesehen werden ( Art. 47 Abs. 1 AHVG in Verbindung mit Art. 49 IVG ). Für den Tatbestand der Meldepflichtverletzung ist ein schuldhaftes Fehlverhalten erforderlich, wobei nach ständiger Rechtsprechung bereits eine leichte Fahrlässigkeit genügt ( BGE 112 V 101 Erw. 2a mit Hinweis). Art. 78 AHVV ist, in Ergänzung zu Art. 85 Abs. 3 IVV , auch in der Invalidenversicherung anwendbar. Laut dieser Bestimmung muss eine Ausgleichskasse, die Kenntnis davon hat, dass eine Person (oder ihr gesetzlicher Vertreter für sie) eine Rente bezogen hat, auf die ihr ein Anspruch überhaupt nicht oder nur in geringerer Höhe BGE 118 V 214 S. 219 zustand, die Rückerstattung des zu Unrecht bezogenen Betrages verfügen; wurde die Rente gemäss Art. 76 Abs. 1 AHVV einer Drittperson oder Behörde ausgerichtet, so ist diese rückerstattungspflichtig. b) Das Eidg. Versicherungsgericht hat im unveröffentlichten Urteil G. vom 4. Mai 1984 im Zusammenhang mit der Prüfung der Erlassfrage erkannt, dass es sich bei der Meldung einer Änderung in den Anspruchsvoraussetzungen, welche den Versicherten obliegt, um eine einmalige Erklärung gegenüber der Verwaltung handelt, welche unverzüglich nach Eintritt der Änderung zu erfolgen hat (vgl. Art. 77 Abs. 1 IVV ); wird eine entsprechende Mitteilung unterlassen, so ist und bleibt die diesbezügliche Pflicht verletzt, woran auch der Umstand nichts mehr zu ändern vermag, dass die Verwaltung von der fraglichen Änderung im nachhinein doch noch Kenntnis erhielt; werden Renten trotz Bekanntwerden einer relevanten Änderung uneingeschränkt weiter ausgerichtet, so vermag ein solcher Fehler der Ausgleichskasse die anfänglich fehlende Gutgläubigkeit infolge Meldepflichtverletzung nicht wiederherzustellen.</w:t>
      </w:r>
    </w:p>
    <w:p>
      <w:r>
        <w:rPr>
          <w:b/>
        </w:rPr>
        <w:t>E. 3</w:t>
      </w:r>
    </w:p>
    <w:p>
      <w:r>
        <w:t>a) Aufgrund der Akten steht fest, dass das Pfarramt, dessen Sozialarbeiter die Versicherte wegen ihrer Stimmungsschwankungen anstelle des Sozialdienstes betreute, der Ausgleichskasse am 20./23. März 1989 mitteilte, die Versicherte "wage es", seit September 1988, im Altersheim F. ganztags als Küchenhilfe zu arbeiten. Demnach erfolgte die Rentenauszahlung durch die Ausgleichskasse von Dezember 1988 bis März 1989 deswegen zu Unrecht, weil die rentenausschliessende Arbeitsaufnahme und Erwerbstätigkeit nicht rechtzeitig gemeldet wurden. Soweit jedenfalls ist die Rückerstattungspflicht zu bejahen. b) Während die Rekurskommission für die Zeit ab April 1989 im Hinblick auf das Schreiben vom 20./23. März 1989 den Tatbestand der Meldepflichtverletzung als nicht mehr erfüllt erachtet, vertreten die Ausgleichskasse und das BSV die Auffassung, dass, wenn die Meldepflicht einmal verletzt sei, dies die Pflicht zur Rückerstattung sämtlicher unrechtmässig bezogener Leistungen nach sich ziehe, somit auch der nach Eingang der verspäteten Meldung ausgerichteten. Der Auffassung der Verwaltung kann nicht beigepflichtet werden. Die klare und unmissverständliche Aussage einer mit der Versicherten befassten Person über eine seit mehreren Monaten ganztags ausgeübte Erwerbsarbeit hätte nach landläufigem Verständnis die Rechtmässigkeit des laufenden Invalidenrentenbezugs offensichtlich, BGE 118 V 214 S. 220 nachhaltig und umgehend in Frage stellen müssen. Der Einwand der Kasse, dieses Schreiben habe nicht genügende Angaben hinsichtlich Entlöhnung usw. enthalten, verkennt die aus dem Untersuchungsgrundsatz fliessenden Pflichten, die sich nach den jeweils gegebenen Umständen konkretisieren. Der Verwaltung war vorliegend eine einfache telefonische Anfrage beim Arbeitgeber, der im Schreiben ebenfalls korrekt angegeben worden ist, zumutbar; sie hätte so leicht in Erfahrung bringen können, wieviel die Versicherte seit September 1988 verdiente. Entgegen den Vorbringen der Ausgleichskasse kann sich die Verwaltung in einem solchen Fall, wo dringliches Handeln geboten ist, nicht darauf beschränken, den Eingang der von ihr verschickten Fragebogen (für den Arbeitgeber, Arzt usw.) abzuwarten. Vollends unverständlich ist sodann, dass die Ausgleichskasse die Rentenauszahlungen selbst nach Eingang des Arbeitgeberberichts am 6. Juni 1989 nicht stoppte, wo doch das Altersheim einen ununterbrochenen monatlichen Lohnbezug von Fr. 2'700.-- in der Zeit von September 1988 bis Mai 1989 attestiert und zudem festgehalten hatte, die Versicherte habe unfall- oder krankheitsbedingt nie gefehlt. Angesichts dieser ab April 1989 anzunehmenden, spätestens im Juni 1989 einwandfrei bewiesenen, rentenausschliessenden Einkommensbezüge kann die Ausgleichskasse die weitere Ausrichtung der Rente insbesondere nicht damit rechtfertigen, dass der Sozialarbeiter des Pfarramtes mit Schreiben vom 7. Juni 1989 von einer "schwereren Krise" und einer "seit einer Woche" bestehenden, nicht abzuschätzenden Arbeitsaussetzung berichtete. Diese Verhältnisse haben mit der Frage der vorausgehend gebotenen revisionsweisen Rentenaufhebung klarerweise nichts zu tun, ist doch eine solche gemäss Art. 88a Abs. 1 (letzter Satz) IVV in jedem Fall zu berücksichtigen, nachdem sie ohne wesentliche Unterbrechung drei Monate angedauert hat und voraussichtlich weiter andauern wird, welche Voraussetzungen vorliegend längst erfüllt waren. Im Rückerstattungsrecht kann eine ordnungsgemässe Meldung für die Zeit des nachfolgenden Leistungsbezuges nicht irrelevant sein; denn die Rückerstattung unrechtmässig bezogener Leistungen hat nicht pönalen Charakter, sondern ist eine an das Recht gebundene Administrativmassnahme (versicherungsmässige Sanktion). Daher kann Art. 88bis Abs. 2 lit. b IVV nicht unberücksichtigt bleiben; nach dieser Bestimmung erfolgt die Herabsetzung oder Aufhebung der Renten und Hilflosenentschädigungen rückwirkend vom Eintritt der für den Anspruch erheblichen Änderung, wenn die unrichtige BGE 118 V 214 S. 221 Ausrichtung einer Leistung darauf zurückzuführen ist, dass der Bezüger sie unrechtmässig erwirkt hat oder der ihm gemäss Art. 77 IVV zumutbaren Meldepflicht nicht nachgekommen ist. Das Gesetz statuiert somit klar das Erfordernis der Kausalität zwischen dem zu sanktionierenden Verhalten (Meldepflichtverletzung) und dem eingetretenen Schaden (unrechtmässiger Bezug von Versicherungsleistungen). Damit scheidet eine rückwirkende Aufhebung der Invalidenrentenbetreffnisse zufolge Meldepflichtverletzung ab April 1989 aus. Da die gleichen Grundsätze auch für das Erlassverfahren gelten, kann an den vorne (Erw. 2b) zitierten Erwägungen im Urteil G. vom 4. Mai 1984 nicht festgehalten werden.</w:t>
      </w:r>
    </w:p>
    <w:p>
      <w:r>
        <w:rPr>
          <w:b/>
        </w:rPr>
        <w:t>E. 4</w:t>
      </w:r>
    </w:p>
    <w:p>
      <w:r>
        <w:t>Weiter ist zu prüfen, wer rückerstattungspflichtig ist: die Versicherte oder der Sozialdienst, an welchen bis und mit Februar 1989 sämtliche Rentenbetreffnisse (Stamm- und Kinderrenten), ab März 1989 nur noch die Kinderrente ausbezahlt wurden. a) Was die Kinderrenten anbelangt, so steht fest, dass diese in keinem Zeitpunkt der Versicherten selber ausbezahlt wurden. Folglich ist sie von vornherein hiefür nicht rückerstattungspflichtig. Was nun den Sozialdienst anbelangt, hat die Rekurskommission zutreffend erkannt, dass dieser die Kinderrenten als blosse Zahlstelle in Empfang genommen hat, was rechtsprechungsgemäss keine Rückerstattungspflicht nach sich zieht. Denn bezüglich der Kinderrenten bestand die Aufgabe des Sozialdienstes einzig und allein darin, diese direkt dem geschiedenen Ehegatten und Vater der Kinder zu überweisen, nachdem letzterem mit Scheidungsurteil die elterliche Gewalt zugesprochen und die Versicherte verpflichtet worden war, "Kinderzulagen, Sozialversicherungsrenten und ähnliche für den Unterhalt der Kinder bestimmte Leistungen, die ihr zustehen, sofort nach Erhalt abzuliefern". Dass der Sozialdienst bezüglich der Kinderrenten für die Versicherte in irgendeiner Weise fürsorgerisch tätig gewesen wäre, ist nach der Aktenlage nicht erstellt und nach den glaubwürdigen Vorbringen in der Vernehmlassung zur Verwaltungsgerichtsbeschwerde auch nicht anzunehmen. Richtig ist indessen, dass der Sozialdienst insoweit nicht als blosse Inkassostelle aufgetreten ist, als er für die Versicherte, wie im Drittauszahlungsgesuch vermerkt, die Lohnverwaltung übernahm. Dieser Auftrag konnte sich jedoch angesichts der erwähnten Regelung der Scheidungsnebenfolgen, soweit IV-Leistungen betreffend, nur auf die Stammrente von I. S. beziehen. Da der Sozialdienst diese bis und mit Februar 1989 unbestrittenerweise zur Verwaltung BGE 118 V 214 S. 222 ausgerichtet erhielt und für diese Zeit, wie dargetan, eine Meldepflichtverletzung ausgewiesen ist, trifft ihn eine Rückerstattungspflicht für die von Dezember 1988 bis und mit Februar 1989 ausgerichteten Rentenbetreffnisse, wie die Rekurskommission richtig entschied. b) Was die Stammrente für März 1989 anbelangt, so ist der vorinstanzliche Entscheid ebenfalls zu bestätigen: Das Rentenbetreffnis für März 1989, den ersten Monat des direkten Rentenbezugs durch die Versicherte, als die Mitteilung vom 20./23. März 1989 noch nicht wirksam werden konnte, ist zufolge Meldepflichtverletzung von ihr zurückzuerstatten. Dass sie wegen ihres psychischen Gesundheitszustandes nicht in der Lage gewesen wäre, Meldung zu erstatten, kann nicht angenommen werden.</w:t>
      </w:r>
    </w:p>
    <w:p>
      <w:r>
        <w:rPr>
          <w:b/>
        </w:rPr>
        <w:t>E. 5</w:t>
      </w:r>
    </w:p>
    <w:p>
      <w:r>
        <w:t>Entgegen den Darlegungen der Ausgleichskasse im vorinstanzlichen Verfahren, besteht kein Anlass und auch keine verfahrensmässige Möglichkeit, den Prüfungsgegenstand auf die Fragen des Erlasses, der Nachzahlung und der Verrechnung auszuweiten. Von Tatbestandsgesamtheit kann nicht die Rede sein. Vielmehr sind die aufgrund der Ergebnisse dieses Verfahrens neu festzusetzenden Rückerstattungsbeträge zunächst zu ermitteln. Anschliessend hat die Ausgleichskasse gegebenenfalls über die von ihr aufgeworfenen Fragen verfügungsweise zu befinden (vgl. BGE 110 V 51 Erw. 3b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