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536 vom 1. Januar 1992</w:t>
      </w:r>
    </w:p>
    <w:p>
      <w:r>
        <w:t>Bundesgericht (BGE), 1992-01-01, DE</w:t>
      </w:r>
    </w:p>
    <w:p>
      <w:r>
        <w:rPr>
          <w:b/>
        </w:rPr>
        <w:t xml:space="preserve">Quelle: </w:t>
      </w:r>
      <w:r>
        <w:t>https://mcp.opencaselaw.ch/entscheid/bge_BGE_118_Ib_536</w:t>
      </w:r>
    </w:p>
    <w:p>
      <w:r>
        <w:t>FR: BGE BGE 118 Ib 536 du 1 janvier 1992</w:t>
      </w:r>
    </w:p>
    <w:p>
      <w:r>
        <w:t>IT: BGE BGE 118 Ib 536 del 1 gennaio 1992</w:t>
      </w:r>
    </w:p>
    <w:p>
      <w:pPr>
        <w:pStyle w:val="Heading2"/>
      </w:pPr>
      <w:r>
        <w:t>Regeste</w:t>
      </w:r>
    </w:p>
    <w:p>
      <w:r>
        <w:t>Regeste Art. 23 Abs. 1 lit. c LwG und Geflügelverordnung; Pflicht der Importeure zur Übernahme von inländischem Geflügel. 1. Gefährdung des Absatzes einheimischer Erzeugnisse als Voraussetzung für die Übernahmepflicht durch die Importeure; Verhältnis zwischen dem privatrechtlichen Vertrag von Importeuren und Geflügelproduzentenvereinigung einerseits sowie der Übernahmepflicht aufgrund der Geflügelverordnung anderseits (E. 2). 2. Gleichartigkeit zwischen dem eingeführten und dem geschützten bzw. zu übernehmenden Erzeugnis (E. 4). 3. Die Geflügelverordnung selbst verpflichtet nur zur Übernahme von Erzeugnissen aus landwirtschaftlicher Produktion. Problematik der indirekten Stützung der privatwirtschaftlichen Marktordnung, nach welcher bisher auch Geflügel aus gewerblich-industrieller Produktion übernommen wurde (E. 5).</w:t>
      </w:r>
    </w:p>
    <w:p>
      <w:r>
        <w:t>Regeste Art. 23 al. 1 let. c LAgr et Ordonnance sur la volaille; prise en charge obligatoire de volaille indigène par les importateurs. 1. La prise en charge obligatoire de volaille indigène par les importateurs présuppose que les importations compromettent le placement de la production de volaille indigène; rapport entre l'accord privé conclu entre les importateurs et l'association des producteurs de volaille, d'une part, et la prise en charge obligatoire de volaille indigène soumise aux dispositions de l'Ordonnance sur la volaille, d'autre part (consid. 2). 2. Similarité entre les produits importés et les produits protégés, c'est-à-dire la volaille indigène à prendre en charge (consid. 4). 3. L'Ordonnance sur la volaille elle-même oblige seulement à prendre en charge les produits qui proviennent d'exploitations paysannes. Problème du soutien indirect d'un contrat privé, selon lequel la volaille provenant d'exploitations industrielles était jusqu'ici également prise en charge (consid. 5).</w:t>
      </w:r>
    </w:p>
    <w:p>
      <w:r>
        <w:t>Regesto Art. 23 cpv. 1 lett. c LAgr e Ordinanza sul pollame; obbligo di ritirare pollame indigeno da parte degli importatori. 1. L'obbligo di ritirare pollame indigeno imposto agli importatori presuppone che le importazioni compromettono lo smercio di prodotti indigeni; rapporto fra, da un lato, il contratto di diritto privato tra gli importatori e l'associazione dei produttori di pollame e, dall'altro, l'obbligo di ritirare pollame indigeno in base all'Ordinanza sul pollame (consid. 2). 2. Similarità tra i prodotti importati e, rispettivamente, quelli protetti e quelli che devono essere ritirati (consid. 4). 3. L'Ordinanza sul pollame stessa obbliga soltanto a ritirare prodotti provenienti da aziende contadine. Problema del sostegno indiretto a un regolamento del mercato privato, secondo cui anche il pollame proveniente da aziende industriali era finora preso a carico (consid. 5).</w:t>
      </w:r>
    </w:p>
    <w:p>
      <w:pPr>
        <w:pStyle w:val="Heading2"/>
      </w:pPr>
      <w:r>
        <w:t>Erwägungen</w:t>
      </w:r>
    </w:p>
    <w:p>
      <w:r>
        <w:rPr>
          <w:b/>
        </w:rPr>
        <w:t>E. 1</w:t>
      </w:r>
    </w:p>
    <w:p>
      <w:r>
        <w:t>Die Beschwerdeführerin macht nicht geltend, die Geflügelverordnung sei in ihrem Fall unzutreffend angewendet worden. Sie stellt vielmehr die Rechtmässigkeit der Verordnung selbst, auf der der angefochtene Entscheid beruht, in Frage. Auf Verwaltungsgerichtsbeschwerde hin kann das Bundesgericht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113 Abs. 3 und 114bis Abs. 3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andern Gründen gesetz- oder verfassungswidrig sei ( BGE 114 Ib 19 E. 2 mit Hinweisen). Die Geflügelverordnung stützt sich im wesentlichen auf Art. 23 Abs. 1 lit. c LwG . Sofern danach der Absatz landwirtschaftlicher Erzeugnisse zu angemessenen Preisen gefährdet ist, kann der Bundesrat, unter Rücksichtnahme auf die andern Wirtschaftszweige, die Importeure zur Übernahme von gleichartigen Erzeugnissen inländischer Herkunft verpflichten. Die Beschwerdeführerin macht geltend, mit dem Erlass der Geflügelverordnung habe der Bundesrat in verschiedener Hinsicht die ihm durch das Gesetz übertragenen Befugnisse überschritten und er habe eine gesetzwidrige Regelung erlassen.</w:t>
      </w:r>
    </w:p>
    <w:p>
      <w:r>
        <w:rPr>
          <w:b/>
        </w:rPr>
        <w:t>E. 2</w:t>
      </w:r>
    </w:p>
    <w:p>
      <w:r>
        <w:t>a) Nach Meinung der Beschwerdeführerin fehlt es schon an einer Gefährdung des Absatzes einheimischer Erzeugnisse. Hiezu ist vorab festzuhalten, dass der Bundesrat auf eine Prognose angewiesen ist, wenn er darüber zu befinden hat, ob der Erlass von BGE 118 Ib 536 S. 539 Einfuhrbeschränkungen erforderlich ist oder nicht. Eine solche Entscheidung beruht auf "prospektivem Ermessen". Das Bundesgericht hat insoweit nur zu überprüfen, ob der Befund des Bundesrates schlechterdings unhaltbar ist ( BGE 100 Ib 435 ). b) Erlass und Ausgestaltung der Geflügelverordnung erklären sich wesentlich aus den Strukturen des Geflügelimportes. Wie das Bundesgericht bereits in publizierten Urteilen vom 12. Dezember 1991 ( BGE 117 Ib 450 ff., 465 ff. und 469 ff.) festgestellt hat, liegt der Geflügelimportmarkt in den Händen zweier verschiedener Kategorien von Importeuren. Die ersteren, welche über einen Marktanteil von rund 90% verfügen, sind über einen privatrechtlichen Vertrag mit der Vereinigung SEG der schweizerischen Geflügelwirtschaft verbunden. Dieser Vertrag geht auf die 30er Jahre zurück. Er ist in abgeänderten Fassungen mehrfach erneuert worden, so insbesondere am 29. April 1981 und - neuestens - am 1. Mai 1991. Die Importeure übernehmen danach eine bestimmte Menge einheimischen Geflügels, welche sich nach dem jeweiligen Importanteil bemisst. Sie finanzieren den Geflügelausgleichsfonds, der dazu dient, den Preis des einheimischen Geflügels zu senken. Dem Vertrag angeschlossen ist auch der Migros-Genossenschafts-Bund, für den allerdings aufgrund seines ökonomischen Gewichts ein Spezialstatut geschaffen wurde. Danach wird ein spezieller, vom Migros-Genossenschafts-Bund gespiesener Ausgleichsfonds geführt, der das über die Migros-Tochter Optigal produzierte Geflügel verbilligen soll. Dieses Import- und Übernahmesystem des Migros-Genossenschafts-Bundes bleibt jedoch Teil der privatrechtlich geschaffenen Marktordnung. Da diese Marktordnung auf rein vertraglicher Basis beruht, können die Importeure nicht gezwungen werden, sich daran zu beteiligen. Das hat, insbesondere in den letzten zehn Jahren, zur Bildung einer zweiten Kategorie von Importeuren geführt, die an der vertraglichen Regelung nicht beteiligt waren. Diese Importeure konnten vor Inkrafttreten der Geflügelverordnung am 31. März 1989 Geflügel frei einführen. Weil im Laufe der Jahre ein immer grösser werdender Teil von Aussenseitern nicht mehr bereit war, sich an der Speisung des Geflügelausgleichsfonds zu beteiligen, hat der Bundesrat mit der Geflügelverordnung eine Regelung getroffen, die auch die am privatrechtlichen Vertrag nicht beteiligten Importeure verpflichtet, einheimisches Geflügel zu übernehmen, und die die Erteilung von Einfuhrbewilligungen hievon abhängig macht (vgl. zu diesen Entstehungsgründen der Geflügelverordnung BGE 117 Ib 452 E. 2, 471 E. 2). BGE 118 Ib 536 S. 540 c) Dem Bundesrat ging es also darum, mit einer subsidiären Ordnung die privatwirtschaftliche Einfuhrregelung für jene Importeure zu ergänzen, die sich am Vertrag zwischen den schweizerischen Geflügelimporteuren und der Vereinigung SEG der schweizerischen Geflügelwirtschaft nicht beteiligen wollten oder konnten. Die vom Bundesrat gehegte Befürchtung lässt sich nicht von der Hand weisen, dass die bisher funktionierende Marktordnung zerstört würde, wenn sich einmal eine nicht mehr vernachlässigbare Zahl von Importeuren der privatrechtlichen Regelung entzieht und sich dadurch Wettbewerbsvorteile verschafft. Dieses Verhalten hat zwangsläufig eine Sogwirkung zur Folge, welcher nur durch staatliche Eingriffe Einhalt geboten werden kann. Es kommt daher nicht darauf an, ob die von der Beschwerdeführerin und weiteren Aussenseitern getätigten Importe selbst schon dazu führen würden, dass einheimische Erzeugnisse nicht mehr zu angemessenen Preisen abgesetzt werden können. Die Beschwerdeführerin kritisiert zu Unrecht, der Bundesrat habe eine "präventiv angelegte Massnahme" angeordnet. Der Bundesrat durfte im Rahmen des ihm zustehenden Ermessens vielmehr annehmen, die privatwirtschaftliche Marktordnung werde durch das Verhalten der Aussenseiter zusehends in Frage gestellt und als Folge davon werde im Ergebnis auch die Abräumung des einheimischen Marktes und der Absatz zu kostendeckenden Preisen gefährdet. d) Im übrigen sind die Angaben der Beschwerdeführerin unzutreffend, wonach lediglich sie selbst und eine kleinere Importeurin der privatrechtlichen Marktordnung nicht beigetreten seien. Das Bundesgericht selbst hatte sich schon mit sechs Fällen zu befassen, auf die die Ersatzregelung der Geflügelverordnung anwendbar war (Urteile vom 12. Dezember 1991); das Bundesamt für Aussenwirtschaft weist überdies darauf hin, dass bereits 19 Unternehmungen individuelle Übernahmeverträge nach Art. 3 Abs. 7 Geflügelverordnung abgeschlossen haben.</w:t>
      </w:r>
    </w:p>
    <w:p>
      <w:r>
        <w:rPr>
          <w:b/>
        </w:rPr>
        <w:t>E. 3</w:t>
      </w:r>
    </w:p>
    <w:p>
      <w:r>
        <w:t>Die nach Art. 23 LwG zu ergreifenden Massnahmen müssen unter "Rücksichtnahme auf die andern Wirtschaftszweige" getroffen werden. Ob hiezu auch die Konsumenten gehören, wie die Beschwerdeführerin meint, kann offenbleiben (vgl. BGE 99 Ib 169 ). Einfuhrbeschränkungen sind zwangsläufig mit einer Verteuerung der Produkte verbunden. Die Rücksichtnahme auf die Konsumenten kann daher nicht so weit gehen, dass eine Verteuerung der Produkte generell zu vermeiden wäre. Es ist gerade der Sinn der vom Gesetzgeber vorgesehenen Einfuhrbeschränkungen, den Absatz einheimischer BGE 118 Ib 536 S. 541 Erzeugnisse zu angemessenen Preisen sicherzustellen. Die damit verbundenen Preiserhöhungen sind nicht nur unvermeidlich, sondern gewollt. Dem Bundesrat steht sodann ein weites Ermessen in der Frage zu, auf welche Weise er auf die andern Wirtschaftszweige Rücksicht nehmen will ( BGE 104 Ib 111 ). Dass hiebei die angeblich besondere Situation der Lebensmitteldiscounter hätte beachtet werden müssen, lässt sich nicht nachvollziehen. Auch wenn die Beschwerdeführerin bestrebt ist, ihre Waren zu möglichst tiefen Preisen anzubieten, kann sie hiefür nicht Wettbewerbsvorteile in Anspruch nehmen, die daraus resultieren, dass ihre Konkurrenten sich am Geflügelausgleichsfonds beteiligen, während sie selbst frei von solchen Verpflichtungen Importe tätigen würde.</w:t>
      </w:r>
    </w:p>
    <w:p>
      <w:r>
        <w:rPr>
          <w:b/>
        </w:rPr>
        <w:t>E. 4</w:t>
      </w:r>
    </w:p>
    <w:p>
      <w:r>
        <w:t>Die Statuierung einer Übernahmepflicht setzt voraus, dass zwischen dem eingeführten und dem geschützten bzw. zu übernehmenden Erzeugnis Gleichartigkeit besteht. Die Beschwerdeführerin ist der Ansicht, solche Gleichartigkeit bestehe zwischen Truten- und Pouletfleisch nicht. Indessen ging es dem Bundesrat auch darum, die einheimische Trutenproduktion zu schützen. Truten zählen beim privatwirtschaftlichen Vertragswerk ebenfalls zu den übernahmepflichtigen Erzeugnissen, weshalb der Bundesrat mit denselben Gründen wie beim Poulet von einer Gefährdung ausgehen und eine Ersatzregelung für die nicht angeschlossenen Importeure treffen konnte. Abgesehen davon ist festzuhalten, dass Art. 23 Abs. 1 LwG nicht Gleichheit, sondern Gleichartigkeit der Erzeugnisse verlangt. Der Begriff der Gleichartigkeit ist vom Gesetz nicht näher umschrieben worden, vielmehr ist diese Aufgabe bewusst dem Bundesrat überlassen worden, dem je nach der Veränderung der wirtschaftlichen Verhältnisse ein weiter Spielraum zukommen sollte (Sten.Bull. 1951 N. 57 f., Votum des Kommissionspräsidenten Obrecht). Wenn der Bundesrat die Warengruppe des Geflügels zusammenfasste und in der Geflügelverordnung einheitlich behandelte, so lässt sich darin folglich kein Gesetzesverstoss erkennen. Schon in der Allgemeinen Landwirtschafts-Verordnung vom 21. Dezember 1953 (SR 916.01) wurde bei Umschreibung der der Einfuhrbewilligungspflicht unterliegenden Waren (Art. 28) der Begriff Geflügel im weiten Sinne der Zolltarifnummern 0207.1000/5000 (wo u.a. Hühner, Truthühner, Enten, Gänse und Perlhühner aufgezählt sind) verwendet. Daneben unterliegt das übrige Fleisch einer besonderen Importregelung. Wenn die Auffassung der Beschwerdeführerin zutreffen sollte, BGE 118 Ib 536 S. 542 Trutenfleisch substituiere im Konsum eher Kalbfleisch als Pouletfleisch, wäre die Konsequenz, die Einfuhr von Truten in die Schlachtviehverordnung einzubeziehen. Die naheliegende Gleichbehandlung mit dem Geflügel entspricht aber der landwirtschaftsrechtlichen Zielgebung durchaus. Wenn auch die inländische Trutenproduktion im Vergleich zur Pouletproduktion gering sein mag, ist deren Importbindung an die Abräumung der inländischen Geflügelproduktion insgesamt gerechtfertigt.</w:t>
      </w:r>
    </w:p>
    <w:p>
      <w:r>
        <w:rPr>
          <w:b/>
        </w:rPr>
        <w:t>E. 5</w:t>
      </w:r>
    </w:p>
    <w:p>
      <w:r>
        <w:t>Schliesslich macht die Beschwerdeführerin geltend, die Geflügelverordnung schütze nicht bäuerliche, sondern gewerbliche und industrielle Geflügelproduktion. a) Die in Art. 23 Abs. 1 LwG vorgesehenen Massnahmen sind, wie die Beschwerdeführerin zutreffend darlegt, für den Schutz landwirtschaftlicher, nicht gewerblicher und industrieller Erzeugnisse bestimmt ( BGE 102 Ib 360 E. 2). Die Geflügelverordnung verpflichtet aber ausdrücklich nur zur Übernahme von Geflügel aus "bäuerlichen Betrieben" (Art. 1 Abs. 1 lit. b Geflügelverordnung). Als bäuerlich gelten namentlich Betriebe, welche die Höchstbestandesvorschriften und die Auflagen des Tier- und Umweltschutzes einhalten sowie mindestens 50% des Betriebseinkommens aus nicht der Stallbauverordnung unterstehenden landwirtschaftlichen Produktionszweigen (also nicht aus Fleisch- und Eierproduktion stammenden Erzeugnissen) erzielen (Art. 1 Abs. 2 Geflügelverordnung in Verbindung mit Art. 3 Höchstbestandes- und Art. 13 Abs. 1 lit. c Stallbauverordnung). b) In Betracht fallen kann daher nur, dass die Geflügelverordnung indirekt, indem sie das privatwirtschaftliche Vertragswerk stützt, allenfalls auch der industriellen oder gewerblichen Geflügelproduktion zugute kommen könnte. Diesbezüglich muss aber beachtet werden, dass, solange die Marktabräumung auf rein privatwirtschaftlicher Basis betrieben wurde, es zum vornherein nicht Sache des Staates war, dafür zu sorgen, dass in den Genuss der vertraglichen Regelung nur bäuerliche Betriebe kommen konnten. Sodann hat die von der Beschwerdeführerin als industriell angesprochene Optigal AG bis zum 31. Dezember 1991, entsprechend der Übergangsfrist von Art. 25 der Höchstbestandesverordnung, ihre eigene Produktion abgebaut und sie in bäuerliche Betriebe verlegt. Und auch im übrigen erfüllen sämtliche Betriebe, die in den letzten Jahren aufgestockt wurden, die Voraussetzungen, welche in der Geflügelverordnung an bäuerliche Betriebe gestellt werden. Angesichts dieser Entwicklung lässt sich nicht BGE 118 Ib 536 S. 543 sagen, die Geflügelverordnung sanktioniere indirekt eine Marktordnung, welche gewerbliche und industrielle Produktionsbetriebe fördere. Vielmehr wird diese privatwirtschaftliche Marktordnung gerade dahingehend umgestaltet, dass sie auch den Anforderungen der Geflügelverordnung genügen würde. Dass dies nicht schlagartig erfolgen kann, liegt auf der Hand und kann nicht zur Folge haben, dass auf die Abräumung der einheimischen Erzeugnisse überhaupt verzichtet würde, denn gerade dadurch würden die bäuerlichen Betriebe am meisten tangiert. Die Beschwerdeführerin selbst ist, soweit sie importiert, auf der Grundlage der Geflügelverordnung ohnehin nur verpflichtet, Geflügel aus bäuerlichen Betrieben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