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14 vom 1. Januar 1992</w:t>
      </w:r>
    </w:p>
    <w:p>
      <w:r>
        <w:t>Bundesgericht (BGE), 1992-01-01, DE</w:t>
      </w:r>
    </w:p>
    <w:p>
      <w:r>
        <w:rPr>
          <w:b/>
        </w:rPr>
        <w:t xml:space="preserve">Quelle: </w:t>
      </w:r>
      <w:r>
        <w:t>https://mcp.opencaselaw.ch/entscheid/bge_BGE_118_Ia_14</w:t>
      </w:r>
    </w:p>
    <w:p>
      <w:r>
        <w:t>FR: BGE BGE 118 Ia 14 du 1 janvier 1992</w:t>
      </w:r>
    </w:p>
    <w:p>
      <w:r>
        <w:t>IT: BGE BGE 118 Ia 14 del 1 gennaio 1992</w:t>
      </w:r>
    </w:p>
    <w:p>
      <w:pPr>
        <w:pStyle w:val="Heading2"/>
      </w:pPr>
      <w:r>
        <w:t>Regeste</w:t>
      </w:r>
    </w:p>
    <w:p>
      <w:r>
        <w:t>Regeste Zulassung als Geschädigter gemäss §§ 9 und 10 des zürcherischen Gesetzes vom 4. Mai 1919 betreffend den Strafprozess (Strafprozessordnung; StPO). 1. Überspitzter Formalismus bei der Anwendung kantonaler Verfahrensvorschriften (E. 2a). 2. Voraussetzungen der Geschädigtenstellung nach zürcherischem Strafprozessrecht in einem Fall von nächtlicher Ruhestörung (E. 2b).</w:t>
      </w:r>
    </w:p>
    <w:p>
      <w:r>
        <w:t>Regeste Admission de la qualité de lésé au sens des §§ 9 et 10 de la loi zurichoise sur la procédure pénale du 4 mai 1919 (PP). 1. Formalisme excessif dans l'application des règles cantonales de procédure (consid. 2a). 2. Conditions pour admettre la qualité de lésé selon la procédure pénale zurichoise dans un cas de tapage nocturne (consid. 2b).</w:t>
      </w:r>
    </w:p>
    <w:p>
      <w:r>
        <w:t>Regesto Legittimazione della parte lesa ai sensi dei §§ 9 e 10 della legge zurighese sulla procedura penale del 4 maggio 1919 (Codice di procedura penale; CPP). 1. Formalismo eccessivo nell'applicazione di norme di procedura cantonali (consid. 2a). 2. Presupposti per ammettere la legittimazione della parte lesa secondo la procedura penale zurighese in un caso di schiamazzi notturni (consid. 2b).</w:t>
      </w:r>
    </w:p>
    <w:p>
      <w:pPr>
        <w:pStyle w:val="Heading2"/>
      </w:pPr>
      <w:r>
        <w:t>Erwägungen</w:t>
      </w:r>
    </w:p>
    <w:p>
      <w:r>
        <w:rPr>
          <w:b/>
        </w:rPr>
        <w:t>E. 2</w:t>
      </w:r>
    </w:p>
    <w:p>
      <w:r>
        <w:t>a) Überspitzter Formalismus ist eine besondere Form der Rechtsverweigerung und liegt vor, wenn für ein Verfahren rigorose Formvorschriften aufgestellt werden, wenn die Behörde formelle Vorschriften mit übertriebener Schärfe handhabt, wenn sie an Rechtsschriften überspannte Anforderungen stellt oder wenn dem Bürger der Rechtsweg in unzulässiger Weise versperrt wird ( BGE 115 Ia 17 E. b; BGE 114 Ia 23 ; BGE 112 Ia 308 E. 2a, je mit Hinweisen). Letzteres ist hier der Fall. Wenn die Verwaltungskommission des Obergerichtes ausführt, im Zeitpunkt der Erhebung der Beschwerde nach §§ 108 ff. des zürcherischen Gerichtsverfassungsgesetzes vom 13. Juni 1976 (GVG) hätte der Entscheid des Einzelrichters mit prozessualen Mitteln überprüft werden können und müssen, so steht diese Argumentation mit Art. 4 BV in Widerspruch, da den Beschwerdeführern dieses Urteil weder zugestellt noch sonstwie zur Kenntnis gebracht worden und ihnen auch nie förmlich ein Rechtsmittel (kantonale Nichtigkeitsbeschwerde ans Obergericht) eröffnet worden war. Den Beschwerdeführern stand somit im betreffenden Zeitpunkt lediglich die Rechtsverweigerungsbeschwerde an die Verwaltungskommission des Obergerichtes zur Verfügung. Die staatsrechtliche Beschwerde erweist sich schon aus diesem Grunde als begründet. BGE 118 Ia 14 S. 16 b) Die Verwaltungskommission des Obergerichtes handelte sodann willkürlich, als sie in ihrer Eventualbegründung die kantonale Beschwerde trotzdem materiell behandelte, die Geschädigtenstellung der Beschwerdeführer aber verneinte. Unmittelbar Geschädigter ist zwar nur der Träger des durch die Strafdrohung geschützten Rechtsgutes, gegen das sich die Straftat ihrem Begriffe nach richtet (CLAUDE BAUMANN, Die Stellung des Geschädigten im schweizerischen Strafprozess, Diss. Zürich 1958, S. 21 f.; ROBERT HAUSER, Kurzlehrbuch des schweizerischen Strafprozessrechtes, 2. Auflage, S. 82 f.). Gemäss § 9 StVG wird mit Busse oder mit Haft bestraft, wer durch Lärm oder Geschrei die Nachtruhe in grober Weise stört. Das Bundesgericht hat derartige Bestimmungen stets als sowohl im öffentlichen als auch im privaten Interesse liegend betrachtet. Neben der öffentlichen Ruhe und Ordnung ist auch der private Rechtsanspruch auf Unterbleiben einer Ruhestörung geschütztes Rechtsgut. Analog wie bei Immissionsbestimmungen im allgemeinen nimmt ein verzeigender Anwohner neben dem öffentlichen auch ein eigenes rechtlich geschütztes Interesse wahr. Derartige Strafbestimmungen schützen die Interessen von Nachbarn und insbesondere - wie hier - Wohnungsnachbarn neben dem öffentlichen Interesse an Ruhe und Ordnung nicht nur mittelbar, sondern unmittelbar. Gerade aus den vorliegenden Akten geht deutlich hervor, dass die Beschwerdeführer geltend machen, ihnen sei unmittelbar ein Schaden zugefügt worden oder habe ihnen zumindest zu erwachsen gedroht; diese Umstände begründen im Kanton Zürich die Geschädigtenstellung (NIKLAUS SCHMID, Strafprozessrecht, N 502; vgl. auch JÖRG REHBERG, in Festschrift Max Keller, Zürich, 1989, S. 630 und 631). Die Geschädigtenrechte gemäss § § 9 und 10 StPO gelten im Kanton Zürich grundsätzlich auch im Verfahren bei Übertretungen. Für gerichtliche Übertretungsstrafverfahren werden nämlich gemäss § 363 StPO die Vorschriften über das Hauptverfahren vor Bezirksgericht sinngemäss angewandt. Dabei geht beispielsweise aus § 280 Abs. 2 und § 283 Abs. 2 und 3 StPO hervor, dass der Geschädigte ein Recht auf Teilnahme an der bezirksgerichtlichen Hauptverhandlung hat und dass er auch zum Schuld- und Strafpunkt Ausführungen machen kann. Indem die Verwaltungskommission den Beschwerdeführern dies verweigerte, verletzte sie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