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363</w:t>
      </w:r>
    </w:p>
    <w:p>
      <w:r>
        <w:t>Bundesgericht (BGE), 1992-01-01, DE</w:t>
      </w:r>
    </w:p>
    <w:p>
      <w:r>
        <w:rPr>
          <w:b/>
        </w:rPr>
        <w:t xml:space="preserve">Quelle: </w:t>
      </w:r>
      <w:r>
        <w:t>https://mcp.opencaselaw.ch/entscheid/bge_BGE_118_IV_363</w:t>
      </w:r>
    </w:p>
    <w:p>
      <w:r>
        <w:t>FR: ATF 118 IV 363</w:t>
      </w:r>
    </w:p>
    <w:p>
      <w:r>
        <w:t>IT: DTF 118 IV 363</w:t>
      </w:r>
    </w:p>
    <w:p>
      <w:pPr>
        <w:pStyle w:val="Heading2"/>
      </w:pPr>
      <w:r>
        <w:t>Regeste</w:t>
      </w:r>
    </w:p>
    <w:p>
      <w:r>
        <w:t>Regeste Art. 251 Ziff. 1 StGB; Falschbeurkundung. Das Erstellen einer inhaltlich unwahren Lohnabrechnung stellt keine Falschbeurkundung dar, soweit ihr nicht aufgrund besonderer gesetzlicher Vorschrift erhöhte Glaubwürdigkeit zukommt. Gegebenenfalls kommt eine Bestrafung aufgrund von Spezialgesetzen, wie etwa Sozialversicherungsgesetzen, in Betracht.</w:t>
      </w:r>
    </w:p>
    <w:p>
      <w:r>
        <w:t>Regeste Art. 251 ch. 1 CP; faux dans les titres. L'établissement d'un décompte de salaire dont le contenu est inexact ne constitue pas un faux dans les titres, dans la mesure où un caractère probatoire accru ne lui est pas conféré par une disposition légale particulière. Le cas échéant, une sanction pénale peut entrer en considération en vertu de lois spéciales, telles que celles en matière d'assurances sociales.</w:t>
      </w:r>
    </w:p>
    <w:p>
      <w:r>
        <w:t>Regesto Art. 251 n. 1 CP; falsità ideologica in documenti. L'allestimento di un conteggio di salario il cui contenuto sia inesatto non costituisce una falsità ideologica in documenti, ove una disposizione di legge speciale non gli conferisca un carattere probatorio accresciuto. Può eventualmente entrare in considerazione una sanzione penale fondata su leggi speciali, tali quelle in materia di assicurazioni sociali.</w:t>
      </w:r>
    </w:p>
    <w:p>
      <w:pPr>
        <w:pStyle w:val="Heading2"/>
      </w:pPr>
      <w:r>
        <w:t>Erwägungen</w:t>
      </w:r>
    </w:p>
    <w:p>
      <w:r>
        <w:rPr>
          <w:b/>
        </w:rPr>
        <w:t>E. 1</w:t>
      </w:r>
    </w:p>
    <w:p>
      <w:r>
        <w:t>a) Die Vorinstanz nimmt an, die Beschwerdeführerin habe sich der Falschbeurkundung gemäss Art. 251 Ziff. 1 StGB schuldig gemacht. Die von ihr erstellten sechs Lohnabrechnungen seien insofern unwahr, als sie mit A.R. eine Arbeitnehmerin auswiesen, die die Arbeiten, für die der in den Abrechnungen aufgeführte Lohn bezahlt worden sei, nicht selber erbracht habe. Es gebe keinen Anlass, die Bezeichnung der Person des Arbeitnehmers vom Urkundencharakter von Lohnabrechnungen auszunehmen, sei doch gerade die Arbeitnehmerbezeichnung von einer Bedeutung, die ihr Urkundencharakter zukommen lasse. Die Lohnabrechnung spiele eine Rolle sowohl in sozialversicherungs- als auch in steuerrechtlicher Hinsicht. Zudem sei aufgrund der Bezeichnung der Person des Arbeitnehmers in der Lohnabrechnung für die Fremdenpolizei ersichtlich, ob eine Arbeitsbewilligung vorliege. Hier liege auch der Grund für das Vorgehen der Beschwerdeführerin. Sie habe vertuschen wollen, dass sie einen Ausländer ohne Arbeitsbewilligung beschäftigte. Die Lohnabrechnung erweise sich als Grundlage für eine Reihe von Behörden, welche nicht nur auf die wahrheitsgetreue Angabe des Lohnes, sondern auch darauf angewiesen seien, dass der als Arbeitnehmer Bezeichnete mit demjenigen identisch sei, der die Arbeit tatsächlich ausgeführt habe. b) Die Beschwerdeführerin macht geltend, die Lohnabrechnung sei nicht zum Beweis dafür geeignet, dass die Arbeit von jener Person geleistet worden sei, die darin als Arbeitnehmer genannt sei.</w:t>
      </w:r>
    </w:p>
    <w:p>
      <w:r>
        <w:rPr>
          <w:b/>
        </w:rPr>
        <w:t>E. 2</w:t>
      </w:r>
    </w:p>
    <w:p>
      <w:r>
        <w:t>a) Im Gegensatz zur Urkundenfälschung durch Herstellen einer unechten Urkunde, wo die Täuschung durch das Verfälschen des Inhalts der Urkunde oder das Vorspiegeln eines anderen Ausstellers bewirkt wird, geht es bei der Falschbeurkundung allein darum, dass die in der Urkunde enthaltene Erklärung nicht mit der Wahrheit übereinstimmt. Das Vertrauen darin, dass eine Urkunde nicht verfälscht wird, ist und darf grösser sein als das Vertrauen darauf, dass jemand in schriftlicher Form nicht lügt. Deshalb sind an die Beweisbestimmung und Beweiseignung einer Urkunde bei der Falschbeurkundung hohe Anforderungen zu stellen. Art. 251 StGB BGE 118 IV 363 S. 365 ist restriktiv anzuwenden, soweit es um die Falschbeurkundung geht ( BGE 117 IV 39 und 167). Die Lehre fordert, dass die im Verhältnis zur schriftlichen Lüge erhöhte Überzeugungskraft der unwahren Urkunde einzig und allein dann angenommen wird, wenn allgemeingültige objektive Garantien die Wahrheit der Erklärung gewährleisten, wie sie unter anderem in der Prüfungspflicht einer Urkundsperson und in gesetzlichen Vorschriften gefunden werden können, die, wie etwa die Bilanzvorschriften der Art. 958 ff. OR , gerade den Inhalt bestimmter Schriftstücke näher festlegen. Blosse Erfahrungsregeln hinsichtlich der Glaubwürdigkeit irgendwelcher schriftlicher Äusserungen (z.B. solcher, die dem Erklärenden ungünstig sind) genügen dagegen nicht, mögen sie auch zur Folge haben, dass sich der Geschäftsverkehr in gewissem Umfang auf die entsprechenden Angaben verlässt (STRATENWERTH, Schweizerisches Strafrecht, Besonderer Teil II, § 38 N 45 mit Hinweis auf LOTTNER, Der Begriff der Urkunde und die Abgrenzung zwischen Falschbeurkundung und strafloser schriftlicher Lüge, Diss. Basel 1969, S. 70 ff.). In der neueren Praxis nahm deshalb das Bundesgericht in teilweiser Abkehr von der bisherigen Rechtsprechung an, ein Garagist, der für nicht ausgeführte Arbeiten eine Rechnung erstelle, begehe keine Falschbeurkundung ( BGE 117 IV 35 ff.). In einem anderen Fall verneinte das Bundesgericht eine Falschbeurkundung bei einer zuhanden einer Anlegerin ausgestellten fingierten Bestätigung, wonach der Aussteller einen von der Anlegerin einem Dritten übergebenen Geldbetrag auf treuhänderischer Basis verwalte und einen bestimmten Jahreszins entrichten werde ( BGE 117 IV 168 mit Hinweis). Schliesslich verneinte das Bundesgericht eine Falschbeurkundung bei Erstellen von inhaltlich unwahren Regierapporten ( BGE 117 IV 165 ff.; grundsätzlich zustimmend FRANZ RIKLIN, Baurecht 2/92, S. 32 ff.). b) Im Lichte dieser Praxis ist die Annahme einer Falschbeurkundung im vorliegenden Fall bundesrechtswidrig. Es ist nicht ersichtlich, dass und weshalb Lohnabrechnungen, soweit nicht besondere gesetzliche Vorschriften bestehen, eine erhöhte Glaubwürdigkeit zukommen soll. Die Vorinstanz beruft sich nicht auf solche Vorschriften. Ob die Beschwerdeführerin unter dem Gesichtspunkt des Sozialversicherungsrechts und gegebenenfalls des Steuerrechts unkorrekt gehandelt hat, ist für die Frage der Falschbeurkundung unerheblich. Soweit sie Sozialversicherungsbeiträge nicht ordnungsgemäss abgerechnet und entrichtet hat, beurteilt sich eine allfällige Strafbarkeit nach den Strafbestimmungen der Sozialversicherungsgesetze BGE 118 IV 363 S. 366 ( Art. 87 Abs. 2 AHVG ; Art. 70 IVG ; Art. 76 Abs. 2 BVG ; Art. 112 Abs. 1 UVG ). Entsprechendes gilt, sofern sie steuerrechtliche Vorschriften, etwa in bezug auf die Quellensteuer, verletzt haben sollte. Ebenso betrifft es die Auslegung des Bundesgesetzes über Aufenthalt und Niederlassung der Ausländer (ANAG), ob die Beschwerdeführerin durch ihr Verhalten über den Tatbestand der unberechtigten Beschäftigung von Ausländern gemäss Art. 23 Abs. 4 ANAG hinaus gegen weitere Bestimmungen des Fremdenrechts verstossen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