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325</w:t>
      </w:r>
    </w:p>
    <w:p>
      <w:r>
        <w:t>Bundesgericht (BGE), 1992-01-01, FR</w:t>
      </w:r>
    </w:p>
    <w:p>
      <w:r>
        <w:rPr>
          <w:b/>
        </w:rPr>
        <w:t xml:space="preserve">Quelle: </w:t>
      </w:r>
      <w:r>
        <w:t>https://mcp.opencaselaw.ch/entscheid/bge_BGE_118_IV_325</w:t>
      </w:r>
    </w:p>
    <w:p>
      <w:r>
        <w:t>FR: ATF 118 IV 325</w:t>
      </w:r>
    </w:p>
    <w:p>
      <w:r>
        <w:t>IT: DTF 118 IV 325</w:t>
      </w:r>
    </w:p>
    <w:p>
      <w:pPr>
        <w:pStyle w:val="Heading2"/>
      </w:pPr>
      <w:r>
        <w:t>Regeste</w:t>
      </w:r>
    </w:p>
    <w:p>
      <w:r>
        <w:t>Regeste Art. 29 und Art. 217 StGB; Beginn der Strafantragsfrist bei Vernachlässigung von Unterhaltspflichten. Wenn der Pflichtige während einer gewissen Zeit und ohne Unterbrechung schuldhaft die Zahlung der Unterhaltsbeiträge unterlässt, beginnt die Antragsfrist erst mit der letzten schuldhaften Unterlassung zu laufen (E. 2b). Der Antrag ist gültig für den Zeitraum, in dem der Täter ohne Unterbrechung den Tatbestand erfüllt hat (E. 2c).</w:t>
      </w:r>
    </w:p>
    <w:p>
      <w:r>
        <w:t>Regeste Art. 29 et art. 217 CP; point de départ du délai de plainte, violation d'une obligation d'entretien. Lorsque l'auteur omet fautivement, pendant un certain temps et sans interruption, de fournir les aliments ou les subsides dus, le délai de plainte ne commence à courir qu'à compter de la dernière omission coupable (consid. 2b). La plainte porte sur toute la période pendant laquelle l'auteur a constamment réalisé les éléments constitutifs de l'infraction (consid. 2c).</w:t>
      </w:r>
    </w:p>
    <w:p>
      <w:r>
        <w:t>Regesto Art. 29 e art. 217 CP; inizio del termine per presentare querela, trascuranza degli obblighi di mantenimento. Ove l'agente ometta colpevolmente di fornire durante un certo tempo e senza interruzione gli alimenti o i sussidi dovuti, il termine per presentare la querela comincia a correre solo dall'ultima omissione colpevole (consid. 2b). La querela si riferisce a tutto il periodo durante il quale l'agente ha adempiuto senza interruzione gli elementi costitutivi del reato (consid. 2c).</w:t>
      </w:r>
    </w:p>
    <w:p>
      <w:pPr>
        <w:pStyle w:val="Heading2"/>
      </w:pPr>
      <w:r>
        <w:t>Erwägungen</w:t>
      </w:r>
    </w:p>
    <w:p>
      <w:r>
        <w:rPr>
          <w:b/>
        </w:rPr>
        <w:t>E. 2</w:t>
      </w:r>
    </w:p>
    <w:p>
      <w:r>
        <w:t>a) Selon le recourant, les faits reprochés à T. constituent un délit successif, de sorte que la plainte couvre toutes les omissions passées si elle est déposée dans un délai de trois mois suivant la fin des manquements coupables. Le recourant soutient que l'arrêt publié aux ATF 116 IV 121 ss n'implique nullement l'abandon de la notion de délit successif, mais se limite à modifier la jurisprudence en cette matière pour ce qui a trait à la question du concours. Dans un arrêt récent ( ATF 117 IV 408 ss), le Tribunal fédéral a décidé de renoncer à la notion juridique du délit successif. Il a jugé qu'il y avait lieu de procéder à un examen différencié des divers domaines dans lesquels elle entraînait des conséquences, savoir la fixation de la peine, en relation essentiellement avec la question du concours, la prescription, l'autorité de chose jugée et la plainte pénale. Eu égard à cette nouvelle jurisprudence, on ne saurait suivre le recourant dans la mesure où il fait grief à l'autorité cantonale d'avoir méconnu à tort la notion de délit successif. Toutefois, l'autorité de céans n'étant pas liée par les motifs invoqués par les parties ( art. 277bis al. 2 PPF ), il y a lieu d'examiner, à la lumière des nouveaux principes dégagés par la jurisprudence, si les juges cantonaux ont correctement déterminé les actes couverts par la plainte du 9 janvier 1991. BGE 118 IV 325 S. 328 b) L' art. 29 CP prévoit que le délai de trois mois, au-delà duquel se prescrit le droit de porter plainte, court à compter du jour où l'ayant droit a connu l'auteur de l'infraction. La jurisprudence a admis que cette règle impliquait naturellement que l'acte lui-même soit également connu de l'ayant droit ( ATF 101 IV 116 consid. 1b et les arrêts cités). La loi ne fournit aucune autre indication relative au point de départ du délai de plainte. En application de l'ancienne jurisprudence relative au délit successif, le Tribunal fédéral a jugé que lorsque les faits délictueux s'inscrivent dans une certaine durée le délai de l' art. 29 CP ne commence à courir qu'après qu'ils ont pris fin ( ATF 80 IV 8 s.). La jurisprudence ayant abandonné la notion de délit successif, il y a lieu de se poser, sous ce nouveau jour, la question du point de départ du délai de plainte. L'ancienne jurisprudence avait relevé une analogie avec l' art. 71 al. 3 CP , qui règle le point de départ de la prescription de l'action pénale. On constate toutefois que ce délai ne saurait être assimilé à celui de l' art. 29 CP . A l'examen de cette dernière disposition, il apparaît tout d'abord que si le texte français prévoit que "le droit de porter plainte se prescrit", les versions allemande et italienne utilisent les termes das "Antragsrecht erlischt", respectivement "il diritto di querela si estingue". Ainsi, si l' art. 71 al. 3 CP institue manifestement un délai de prescription, on admet que le délai de l' art. 29 CP est, contrairement à ce qui ressort de la version française, un délai de péremption (LOGOZ, Partie générale, p. 158; TRECHSEL, Kurzkommentar StGB, n. 1 ad art. 29 CP ), qui ne peut donc être ni interrompu ni suspendu (voir ATF 116 V 229 , ATF 115 V 24 ). En effet, contrairement aux art. 70 ss CP , l' art. 29 CP ne prévoit aucun motif de suspension ni d'interruption du délai. En outre, la nature des deux délais considérés est différente. Le délai de plainte fixe une limite à un droit qui constitue l'une des conditions de l'ouverture de l'action pénale. La prescription de l'action pénale, en revanche, est une restriction apportée au droit de l'Etat de poursuivre les auteurs d'infractions. Elle constitue donc une condition négative de l'exercice de l'action pénale. Les délais de plainte et de prescription de l'action pénale impliquent tous deux une restriction à un droit, et l'expiration de l'un comme de l'autre a pour conséquence d'exclure la mise en oeuvre de la poursuite pénale. Toutefois, si la prescription porte sur l'action pénale dans son ensemble, la péremption du droit de plainte empêche uniquement d'en réaliser l'une des conditions (voir WALTER HUBER, Die allgemeinen Regeln über den Strafantrag im schweizerischen BGE 118 IV 325 S. 329 Recht, thèse Zurich 1967, p. 24 s.). Pour considérables qu'elles soient, les différences entre ces deux délais n'empêchent pas, étant donné que l'écoulement de l'un comme de l'autre a pour conséquence d'exclure toute possibilité d'ouvrir une poursuite pénale, qu'en l'absence de dispositions légales spécifiques on puisse déterminer le point de départ du délai de plainte par analogie avec les règles applicables au délai de prescription, c'est-à-dire en se référant à l' art. 71 CP . S'agissant de la prescription des délits qui étaient, sous l'empire de l'ancienne jurisprudence, considérés comme successifs, l'autorité de céans a jugé qu'il fallait se fonder sur l'articulation des différents actes délictueux afin de déterminer s'ils pouvaient constituer un tout auquel l' art. 71 al. 2 CP serait applicable ( ATF 117 IV 413 consid. aa). Sur ce point, il faut s'en remettre à des critères objectifs et non pas subjectifs ( ATF 118 IV 317 consid. c). Ainsi, on doit considérer qu'une activité s'est exercée à plusieurs reprises, au sens de l' art. 71 al. 2 CP , si les actes délictueux sont identiques ou analogues et lèsent le même bien juridiquement protégé. Une certaine unité entre les actes incriminés est donc requise. Elle est suffisante lorsque ces actes procèdent d'un comportement durablement contraire à un devoir permanent de l'auteur, sans que l'on soit toutefois en présence d'un délit continu au sens de l' art. 71 al. 3 CP ( ATF 117 IV 413 consid. bb; ATF 118 IV 317 s. consid. c). A titre d'exemple d'un tel comportement délictueux durable, le Tribunal fédéral a précisément cité la violation d'une obligation d'entretien, puisque le devoir de s'acquitter d'une dette d'aliments ne cesse pas après le terme fixé pour le paiement, mais qu'au contraire le débiteur demeure à tout moment tenu de verser la totalité des montants échus ( ATF 117 IV 414 consid. bb; ATF 118 IV 318 ). En effet, l'obligation d'entretien ne porte pas uniquement sur le versement périodique d'une contribution alimentaire, mais le débiteur est au contraire tenu, de manière permanente, de participer à l'entretien du créancier d'aliments, et ce jusqu'à ce que la cause de l'obligation ait disparu. Dès lors, celui qui, durablement, contrevient à son devoir de fournir les aliments dus, se rend de manière permanente coupable de l'infraction réprimée par l' art. 217 CP (dans ce sens, voir également SCHMID, Das fortgesetzte Delikt am Ende?, Recht 1991 p. 139), de sorte que le délai de plainte ne commence pas à courir tant que persistent les omissions coupables. c) Ainsi, l'autorité cantonale a violé le droit fédéral en considérant que la plainte pénale déposée le 9 janvier 1991 par l'autorité BGE 118 IV 325 S. 330 tutélaire d'Orvin ne couvrait pas les omissions antérieures à novembre 1990. Elle devait examiner si la plainte avait été déposée au plus tard dans les trois mois suivant la fin des violations reprochées à l'intéressé. Si tel était bien le cas, elle devait alors la considérer comme portant sur l'ensemble de ces manquements, dans la mesure où ils procédaient du même comportement durablement contraire au devoir permanent qu'avait T. de contribuer à l'entretien de ses enfants. En l'espèce, il ressort des constatations de l'autorité cantonale que T. a été totalement incapable de travailler pendant la période où il a séjourné à la clinique de Bellelay ainsi que dans la communauté thérapeutique des Vacheries-du-Fuet, c'est-à-dire de novembre 1989 à mai 1990. Il n'avait alors pas les moyens de s'acquitter de sa dette et ne pouvait pas les avoir, au sens de l' art. 217 CP . Pendant ce laps de temps, il ne s'est donc pas rendu coupable de l'infraction qui lui est reprochée. Ainsi, il ne saurait, au-delà de ce moment, être question d'un comportement permanent durablement contraire à un devoir, de sorte que l'unité exigée par la nouvelle jurisprudence n'est plus donnée. Partant, l'arrêt attaqué doit être annulé et la cause renvoyée à l'autorité cantonale pour qu'elle détermine si, et le cas échéant quand, T. aurait été en mesure de s'acquitter de sa contribution d'entretien.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