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309</w:t>
      </w:r>
    </w:p>
    <w:p>
      <w:r>
        <w:t>Bundesgericht (BGE), 1992-01-01, FR</w:t>
      </w:r>
    </w:p>
    <w:p>
      <w:r>
        <w:rPr>
          <w:b/>
        </w:rPr>
        <w:t xml:space="preserve">Quelle: </w:t>
      </w:r>
      <w:r>
        <w:t>https://mcp.opencaselaw.ch/entscheid/bge_BGE_118_IV_309</w:t>
      </w:r>
    </w:p>
    <w:p>
      <w:r>
        <w:t>FR: ATF 118 IV 309</w:t>
      </w:r>
    </w:p>
    <w:p>
      <w:r>
        <w:t>IT: DTF 118 IV 309</w:t>
      </w:r>
    </w:p>
    <w:p>
      <w:pPr>
        <w:pStyle w:val="Heading2"/>
      </w:pPr>
      <w:r>
        <w:t>Regeste</w:t>
      </w:r>
    </w:p>
    <w:p>
      <w:r>
        <w:t>Regeste Art. 25 StGB. Gehilfenschaft eines Beamten. Die generelle Pflicht eines jeden Beamten, den Strafverfolgungsbehörden die Straftaten anzuzeigen, von denen er bei Ausübung seines Amtes Kenntnis erhalten hat, begründet nicht in jedem Fall eine Garantenstellung. Der Beamte, dessen Aufgabe nicht speziell darin besteht, mit der Polizei zusammenzuarbeiten, macht sich nicht der Gehilfenschaft zu Betrug schuldig, auch wenn der Betrüger seine deliktische Tätigkeit zum Nachteil Dritter fortsetzen kann, weil der Beamte ihn nicht angezeigt hat (E. 1). Art. 316 StGB. Annahme von Geschenken. Verjährung. Diese Tat impliziert nicht ein andauerndes pflichtwidriges Verhalten des Täters. Die Verfolgungsverjährung beginnt daher jeweils mit jeder Entgegennahme eines Vorteils zu laufen, auch wenn der Täter während mehreren Jahren Geschenke angenommen hat (E. 2).</w:t>
      </w:r>
    </w:p>
    <w:p>
      <w:r>
        <w:t>Regeste Art. 25 CP. Complicité d'un fonctionnaire. L'obligation générale pour tout fonctionnaire de dénoncer, à l'autorité pénale, les infractions dont il a connaissance dans l'exercice de sa fonction ne crée pas dans tous les cas une situation de garant. Le fonctionnaire, dont la mission n'est pas spécialement de collaborer avec la police, ne se rend pas complice d'un escroc, même si celui-ci peut poursuivre son activité délictueuse au préjudice de tiers, parce qu'il ne l'a pas dénoncé (consid. 1). Art. 316 CP. Accepter un avantage. Prescription. Cette infraction n'implique pas un comportement durablement contraire à un devoir permanent de l'auteur. La prescription court du jour où chacun des avantages a été accepté, même en présence d'une série d'actes s'étendant sur plusieurs années (consid. 2).</w:t>
      </w:r>
    </w:p>
    <w:p>
      <w:r>
        <w:t>Regesto Art. 25 CP. Complicità di un funzionario. L'obbligo generale incombente a ogni funzionario di denunciare all'autorità penale i reati di cui abbia conoscenza nell'esercizio delle sue mansioni non dà luogo in ogni caso a una situazione di garante. Il funzionario il cui compito non sia specialmente di collaborare con la polizia non si rende complice di un truffatore, anche se questi possa continuare la sua attività delittuosa a danno di terzi perché il funzionario non l'ha denunciato (consid. 1). Art. 316 CP. Accettazione di doni. Prescrizione. Questo reato non presuppone un comportamento durevole contrario a un dovere permanente dell'agente. La prescrizione decorre dal giorno in cui è stato accettato ognuno dei profitti, anche se ci si trovi in presenza di una serie di atti che si estendono su più anni (consid. 2).</w:t>
      </w:r>
    </w:p>
    <w:p>
      <w:pPr>
        <w:pStyle w:val="Heading2"/>
      </w:pPr>
      <w:r>
        <w:t>Erwägungen</w:t>
      </w:r>
    </w:p>
    <w:p>
      <w:r>
        <w:rPr>
          <w:b/>
        </w:rPr>
        <w:t>E. 1</w:t>
      </w:r>
    </w:p>
    <w:p>
      <w:r>
        <w:t>a) Le recourant a été déclaré coupable notamment de complicité d'escroquerie et de complicité de faux dans les titres. S. s'est rendu coupable d'escroquerie et de faux dans les titres. Il a été condamné. Il s'agit de déterminer en se fondant sur l'état de fait si, et dans l'affirmative pour quel acte, le recourant a été son complice. Selon l' art. 25 CP , le complice est "celui qui aura intentionnellement prêté assistance pour commettre un crime ou un délit". La complicité est une forme de participation accessoire à l'infraction. Elle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 ATF 109 IV 149 consid. 3, ATF 108 Ib 302 consid. 3a et les arrêts cités). L'assistance prêtée par le complice peut être matérielle, intellectuelle ou consister en une simple abstention ( ATF 79 IV 146 ). Le complice peut apporter sa contribution jusqu'à l'achèvement de l'infraction; ainsi, dans le cas d'une escroquerie ou d'un faux dans les titres, l'assistance du complice peut intervenir jusqu'à l'encaissement des fonds par lequel l'auteur cause le dommage, respectivement jusqu'à l'atteinte aux intérêts pécuniaires d'autrui (voir ATF 107 IV 2 et ATF 106 IV 296 ). Le complice doit avoir l'intention de favoriser la commission de l'infraction, mais le dol éventuel suffit ( ATF 109 IV 150 consid. 4, ATF 108 Ib 302 consid. 3b). b) La première question à résoudre en l'espèce est celle de savoir sous quelle forme le recourant aurait prêté assistance aux escroqueries et aux faux dans les titres commis par S. (voir ATF 79 IV 146 ). BGE 118 IV 309 S. 313 L'arrêt attaqué ne contient pas la constatation que le recourant aurait apporté à S. une aide sur le plan psychologique, ni qu'il ait voulu apporter une telle aide ou consenti à l'éventualité de l'apporter. En conséquence, sur la base des faits retenus, une assistance intellectuelle est d'emblée exclue. Quant à une assistance matérielle, la cour cantonale se pose la question, mais sans la résoudre, ce qui est manifestement insuffisant pour fonder une condamnation. L'autorité cantonale évoque à ce sujet le fait que le recourant a pris contact avec S. à chaque fois qu'il a eu la connaissance ou le soupçon d'une infraction. Il résulte cependant des constatations de fait qu'il a aussi, à chaque fois, fait savoir très clairement et immédiatement, à la personne qui l'interrogeait, que l'université n'avait pris aucun engagement et que la signature invoquée n'était pas la sienne. Une telle réaction, à l'égard de la banque neuchâteloise, de la Banque X. et de Y. SA, n'était manifestement pas de nature à favoriser la réalisation des infractions par S. S'il a pris contact avec celui-ci, c'était pour tirer la situation au clair, en exigeant dans chaque cas que les faux lui soient remis et soient détruits. On ne voit donc pas - et la cour cantonale ne l'a pas constaté en fait - que le recourant ait eu la volonté de favoriser la commission des infractions lorsqu'il prenait contact avec S., ni même qu'il ait accepté une telle éventualité. Sur la base des faits retenus, une assistance matérielle doit donc être exclue. Il faut en conclure que le recourant a été reconnu coupable en raison d'un comportement purement passif: il n'a pas dénoncé S. le 1er avril 1987, ce qui a permis à celui-ci de continuer la réalisation des infractions en cours et d'en commettre de nouvelles. c) La complicité par omission est en soi concevable, mais elle suppose que le complice ait eu l'obligation juridique d'agir ( ATF 79 IV 147 ; STRATENWERTH, Allg. Teil. I, Berne 1982 p. 395 No 15; SCHULTZ, Allg. Teil I, 4e éd., Berne 1982 p. 297; HAUSER/REHBERG, Strafrecht I, 4e éd., Zurich 1988 p. 102 et 195; NOLL/TRECHSEL, Allg. Teil I, 3e éd., Zurich 1990 p. 174; LOGOZ/SANDOZ, art. 25 p. 135; TRECHSEL, Kurzkommentar, art. 25 p. 85 No 5 et les références). De façon générale, on admet qu'une infraction de résultat peut également être réalisée lorsque l'auteur omet par sa faute l'accomplissement d'un acte qu'il était juridiquement tenu d'accomplir et qui, selon le cours ordinaire des choses et l'expérience de la vie, aurait évité la survenance du dommage (délit d'omission improprement dit). Un tel délit est réalisé lorsque la survenance du résultat par une action est expressément menacée d'une sanction pénale, que l'accusé par son action aurait BGE 118 IV 309 S. 314 effectivement pu éviter le résultat et qu'en raison de sa situation juridique particulière il y était à ce point obligé que son omission apparaît comparable au fait de provoquer le résultat par un comportement actif. L'obligation d'agir doit donc découler d'une situation juridique particulière, appelée situation de garant ( ATF 117 IV 132 s. consid. 2a, ATF 113 IV 72 consid. 5a et les références citées). d) La question fondamentale en l'espèce est ainsi de savoir si le recourant se trouvait dans une position de garant qui l'obligeait à dénoncer les actes de S. Il faut tout d'abord observer que l'accusé n'était lié à S. par aucun rapport hiérarchique ou contractuel qui l'aurait obligé à surveiller les actes de celui-ci et l'en aurait rendu responsable. De plus, S. s'efforçait d'obtenir du crédit de la part d'établissements tiers en faisant valoir, sur la base de documents faux, de prétendues commandes de l'université. Le recourant n'avait cependant aucun lien juridique avec ces établissements, de sorte qu'on ne voit pas qu'il ait eu l'obligation juridique de veiller à leurs intérêts en les protégeant des actes de S. Certes, le recourant était lié à l'Université de Genève par son rapport de fonction qui l'obligeait à veiller aux intérêts qui lui étaient confiés. La cour cantonale a relevé que les actes de S. pouvaient comporter un certain danger pour les intérêts de l'université, mais elle a constaté par ailleurs que le recourant s'était toujours préoccupé de défendre efficacement les intérêts de l'université. On ne discerne pas en quoi le travail confié au recourant pouvait impliquer l'obligation de dénoncer les actes d'un tiers, extérieur à l'université, à l'égard d'établissements tiers sans rapport avec ladite université. Si l'on s'en tient à l'état de fait, on ne voit pas non plus que l'université ait eu la moindre difficulté à faire constater l'inexistence de véritables commandes et à établir le fait que les documents invoqués émanaient d'une personne totalement extérieure à l'université, dépourvue de toute qualité pour l'engager. En définitive, la cour cantonale a estimé pouvoir déduire un devoir juridique de dénonciation en se fondant sur l'art. 11 du Code de procédure pénale genevois, qui prévoit l'obligation pour tout fonctionnaire de dénoncer immédiatement au Procureur général les crimes ou les délits dont il aurait connaissance dans l'exercice de ses fonctions. Cependant, le recourant n'avait pas pour mission de collaborer avec des autorités de police ou de poursuite pénale. Cette disposition lui imposait donc une obligation indépendante du travail concret qui lui était confié. Il s'agit en réalité d'une mesure générale BGE 118 IV 309 S. 315 destinée à favoriser l'application du droit pénal par la collaboration de l'ensemble des serviteurs de l'Etat. Si la violation d'une telle obligation peut constituer une faute disciplinaire, la doctrine admet qu'une telle obligation très générale ne suffit pas pour créer une position de garant (STRATENWERTH, op.cit. p. 376 No 13; NOLL/TRECHSEL, op.cit. p. 199). L'opinion de ces auteurs correspond à celle émise par le Tribunal fédéral au sujet du devoir général de fidélité à l'égard de l'employeur, prévu à l' art. 321a al. 1 CO ( ATF 113 IV 73 consid. 6a); elle doit être approuvée. Admettre que tous les fonctionnaires, indépendamment de leur mission, peuvent être tenus pour complices du seul fait qu'ils n'ont pas dénoncé une infraction dont ils ont eu connaissance à l'occasion de leur travail (alors qu'ils pouvaient penser que l'auteur récidiverait, sans évidemment souhaiter une telle éventualité) reviendrait à étendre exagérément la portée de l' art. 25 CP . Il faut d'ailleurs observer que l'arrêt attaqué présente un aspect contradictoire. La cour cantonale a libéré le recourant pour certains faits postérieurs au 1er avril 1987, en constatant qu'il n'en avait eu aucune connaissance. On ne voit cependant pas, dans les autres cas retenus à sa charge, comment il aurait pu avoir connaissance de l'encaissement des chèques dans l'affaire de la Banque X. après le 1er avril 1987; on ne distingue pas non plus, dans l'affaire Y. SA, comment il aurait pu penser qu'un versement interviendrait quand même, malgré le démenti très clair qu'il avait adressé à cette société quant à l'existence d'une commande. Dès lors que l'accusé ne se trouvait pas dans une position de garant, dans le cadre des infractions en cause, il n'avait pas l'obligation juridique de les dénoncer - quand bien même son comportement apparaît immoral; son omission ne peut donc pas constituer une complicité (voir ATF 79 IV 147 ). L'arrêt attaqué doit être annulé sur ce point.</w:t>
      </w:r>
    </w:p>
    <w:p>
      <w:r>
        <w:rPr>
          <w:b/>
        </w:rPr>
        <w:t>E. 2</w:t>
      </w:r>
    </w:p>
    <w:p>
      <w:r>
        <w:t>a) Le recourant a été condamné également pour avoir accepté un avantage au sens de l' art. 316 CP . Cette disposition réprime notamment les fonctionnaires qui, pour procéder à un acte non contraire à leurs devoirs et rentrant dans leurs fonctions, auront d'avance sollicité, accepté ou se seront fait promettre un don ou quelque autre avantage auquel ils n'avaient pas droit. La notion de fonctionnaire est celle de l' art. 110 ch. 4 CP , auquel la jurisprudence a donné une interprétation large ( ATF 71 IV 144 consid. 1). L'avantage, auquel le fonctionnaire ne pouvait légitimement prétendre, doit être destiné à obtenir de lui l'accomplissement d'un acte licite inclus dans le cadre BGE 118 IV 309 S. 316 de ses fonctions; il n'est pas nécessaire que cet acte soit déterminé de manière concrète et précise ( ATF 71 IV 147 ; STRATENWERTH, Bes. Teil II, 3e éd., Berne 1984 p. 341 No 9; TRECHSEL, Kurzkommentar p. 799, art. 316 No 2; plus réticent: HAUSER/REHBERG, Strafrecht IV, Zurich 1989 p. 342). Mais il faut au moins un lien suffisant entre l'avantage et un ou plusieurs actes futurs du fonctionnaire, déterminables de manière générique (HAUSER/REHBERG, Strafrecht IV, p. 343). Du point de vue subjectif, l'auteur doit savoir que l'avantage lui est accordé en vue d'une activité future comprise dans le cadre de ses fonctions (TRECHSEL, op.cit., p. 799 art. 316 No 3; STRATENWERTH, Bes. Teil II, p. 341 No 9); il est sans pertinence de savoir si le fonctionnaire était ou non disposé à accomplir les actes attendus de lui (STRATENWERTH, Bes. Teil II, p. 341 No 9). b) En l'espèce, il a été constaté que le recourant avait été engagé par l'Université de Genève et que les termes de son engagement le soumettaient au statut des fonctionnaires en application de l'art. 94 de la loi genevoise sur l'université. Déterminer le contenu d'un acte d'engagement relève des constatations de fait qui lient la cour de céans ( art. 277bis al. 1 PPF ). L'interprétation et l'application du droit cantonal ne peuvent pas donner lieu à un pourvoi en nullité ( art. 269 al. 1 PPF ). Au demeurant, on ne voit pas ici en quoi la cour cantonale aurait méconnu la notion de fonctionnaire au sens de l' art. 316 CP en liaison avec l' art. 110 ch. 4 CP . L'autorité cantonale a également constaté que le recourant avait reçu, entre le 25 février 1981 et le 18 novembre 1987, des largesses s'élevant à plus de 350'000 francs; il résulte clairement de l'état de fait qu'il s'agissait d'attributions auxquelles l'accusé ne pouvait pas légalement prétendre. Le condamné, dans l'exercice licite de sa fonction, a fait en sorte que S. reçoive d'importantes commandes de matériel audiovisuel. Se fondant sur les déclarations des deux protagonistes, la cour cantonale a constaté qu'il y avait un lien entre les largesses accordées par S. au recourant et le comportement professionnel de celui-ci qui favorisait la passation de commandes à S.; cette autorité en a déduit que chacun d'eux savait qu'il devait à son tour "retourner l'ascenseur". Déterminer ce que l'auteur sait, veut ou l'éventualité à laquelle il consent relève des constatations de fait qui lient la cour de céans ( ATF 100 IV 221 consid. 2, 237 consid. 4). Certes, dans le cas où des avantages et des actes administratifs se succèdent pendant une longue période, il peut être difficile de prouver que l'avantage est donné en vue d'un acte futur, et non pas pour récompenser un acte BGE 118 IV 309 S. 317 passé (HAUSER/REHBERG, Strafrecht IV, p. 343). Ici, la cour cantonale a cependant admis que cette preuve était apportée; l'appréciation des preuves et les constatations de fait qui en découlent ne peuvent faire l'objet d'un pourvoi en nullité ( art. 273 al. 1 let. b PPF ; ATF 113 IV 22 ). Selon l'état de fait, S. accordait des largesses au recourant, qui n'y avait pas droit, dans l'espoir que celui-ci, ultérieurement, "lui retournerait l'ascenseur", c'est-à-dire ferait en sorte, dans le cadre de l'exercice licite de ses fonctions, qu'il obtienne des commandes de l'université. Le recourant avait conscience du but poursuivi par S. et a accepté les avantages en toute connaissance de cause. Sur la base d'un tel état de fait, la condamnation du recourant pour infraction à l' art. 316 CP ne viole en rien le droit fédéral. c) Sur le plan de la prescription de l'acceptation d'un avantage, la cour cantonale a considéré que le délai de 7 ans et demi prévu à l' art. 72 ch. 2 CP , en liaison avec l' art. 70 CP , courait du jour où le dernier acte délictueux avait été commis ( art. 71 al. 2 CP ), car il s'agit ici d'un délit successif, à juger comme une seule infraction. Au contraire, d'après le recourant, une infraction à l' art. 316 CP commise en 1983 ou en 1984 en relation avec la commande de l'Université de Genève à T. SA (dont S. dirigeait le département vidéo) serait prescrite. Selon la jurisprudence récente, la notion de délit successif et ses répercussions (concours, prescription, effet de chose jugée, mesure de la peine, délai pour déposer plainte) nécessitent un nouvel examen. Il a déjà été jugé que l'exclusion absolue de l'application de l' art. 68 ch. 1 CP en cas de délit successif ne se justifiait pas ( ATF 116 IV 123 consid. 2b cc). Sur le plan de la prescription de ce type de délits, la cour de céans a considéré qu'il fallait se fonder sur l'articulation des différents actes délictueux afin de déterminer s'ils pouvaient constituer un tout, auquel l' art. 71 al. 2 CP serait applicable (arrêt de la cour de céans du 8 mars 1991, S. c. Ministère public du canton de Berne, consid. 2f aa, destiné à la publication). Sur ce point, il faut s'en remettre à des critères objectifs, non pas subjectifs. Ainsi, on doit considérer qu'une activité s'est exercée à plusieurs reprises, au sens de l' art. 71 al. 2 CP , si les actes délictueux sont identiques ou analogues et lèsent le même bien juridiquement protégé (comme jusqu'ici en matière de délit successif; voir ATF 109 IV 84 ). Une certaine unité entre les actes incriminés est donc requise. Elle est suffisante lorsque ces actes procèdent d'un comportement durablement contraire à un devoir BGE 118 IV 309 S. 318 permanent de l'auteur (andauerndes pflichtwidriges Verhalten), sans que l'on soit toutefois en présence d'un délit continu au sens de l' art. 71 al. 3 CP . Cet élément de durée existe par exemple en cas de violation d'une obligation d'entretien ( art. 217 CP ) puisque le devoir de s'acquitter d'une dette d'aliments ne cesse pas après le terme fixé pour le paiement, mais qu'au contraire le débiteur demeure tenu de verser la totalité des montants échus. Une autre infraction impliquant un comportement durablement contraire à un devoir permanent de l'auteur est celle de la gestion déloyale, objet de l'arrêt S. précité ( art. 159 CP ). Il n'est pas possible de définir plus précisément ces cas par une formule abstraite. Il appartiendra à la jurisprudence de trouver des critères selon les infractions en cause; dans ce domaine, le juge devra se laisser guider par le sens et le but de l'institution de la prescription (voir SCHULTZ, Einführung in den allgemeinen Teil des Strafrechts, vol. 1, 4e éd., Berne 1982 p. 246; HAUSER/REHBERG, Strafrecht I, 4e éd., Zurich 1988 p. 215). Il n'en demeure pas moins clair que ce facteur - comportement durablement contraire à un devoir permanent - doit, expressément ou implicitement, faire partie des éléments constitutifs de l'infraction (voir ATF 84 IV 17 ; ATF 75 IV 40 ). L'infraction prévue à l' art. 316 CP (accepter un avantage) ne renferme pas cet élément à caractère durable. Accepter un avantage est un fait ponctuel, non pas une situation qui se prolonge dans le temps. A la différence de la gestion déloyale, l'auteur n'est pas tenu, même implicitement, de constamment réparer le dommage qu'il cause par l'acte réprimé. Une conclusion analogue découle de la comparaison avec le délit de violation d'une obligation d'entretien. Au demeurant, le bien protégé à l' art. 316 CP n'est pas le patrimoine. En l'espèce, le recourant a accepté à plusieurs reprises des avantages. Il y a certes une analogie entre ces acceptations (mêmes personnes en présence, même but, même état d'esprit, lésion du même intérêt juridiquement protégé). Toutefois, contrairement au cas décrit dans l'arrêt S. précité, l'accusé n'était pas tenu, de par sa fonction à l'université, de veiller constamment sur les intérêts pécuniaires de celle-ci, ni de s'employer en permanence à réparer le dommage qu'il lui aurait causé en acceptant des avantages. Dès lors, faute d'un comportement durablement contraire à un devoir permanent, la prescription courait du jour où chacun des avantages a été accepté. Le pourvoi doit être admis sur ce point également. BGE 118 IV 309 S. 319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