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244</w:t>
      </w:r>
    </w:p>
    <w:p>
      <w:r>
        <w:t>Bundesgericht (BGE), 1992-01-01, FR</w:t>
      </w:r>
    </w:p>
    <w:p>
      <w:r>
        <w:rPr>
          <w:b/>
        </w:rPr>
        <w:t xml:space="preserve">Quelle: </w:t>
      </w:r>
      <w:r>
        <w:t>https://mcp.opencaselaw.ch/entscheid/bge_BGE_118_IV_244</w:t>
      </w:r>
    </w:p>
    <w:p>
      <w:r>
        <w:t>FR: ATF 118 IV 244</w:t>
      </w:r>
    </w:p>
    <w:p>
      <w:r>
        <w:t>IT: DTF 118 IV 244</w:t>
      </w:r>
    </w:p>
    <w:p>
      <w:pPr>
        <w:pStyle w:val="Heading2"/>
      </w:pPr>
      <w:r>
        <w:t>Regeste</w:t>
      </w:r>
    </w:p>
    <w:p>
      <w:r>
        <w:t>Regeste Art. 159 StGB; ungetreue Geschäftsführung. Wer als Mitglied einer Behörde berechtigt ist, die Funktion eines Verwaltungsrates auszuüben, die Tantiemen aber dem Gemeinwesen abliefern muss, macht sich, wenn er dieser Verpflichtung nicht nachkommt, grundsätzlich nicht der ungetreuen Geschäftsführung schuldig, ausser wenn seine amtlichen Funktionen ihn dazu verpflichten, für die Eintreibung solcher Forderungen zu sorgen (E. 2).</w:t>
      </w:r>
    </w:p>
    <w:p>
      <w:r>
        <w:t>Regeste Art. 159 CP; gestion déloyale. Celui qui, en tant que membre d'une autorité, est autorisé à exercer la fonction d'administrateur de sociétés mais doit verser les tantièmes qu'il perçoit à ce titre à la collectivité qu'il est chargé de gérer ne se rend en principe pas coupable de gestion déloyale s'il ne s'acquitte pas de cette dette, à moins que ses fonctions au sein de l'autorité ne l'obligent à veiller au recouvrement d'une telle créance (consid. 2).</w:t>
      </w:r>
    </w:p>
    <w:p>
      <w:r>
        <w:t>Regesto Art. 159 CP; amministrazione infedele. Colui al quale è consentito, come membro di un'autorità, di esercitare la funzione di amministratore di società, ma che è tenuto a versare all'ente pubblico il compenso percentuale (tantièmes) ricevuto a tale titolo, non è, in linea di principio punibile per amministrazione infedele ove non adempia tale obbligo, salvo che le sue funzioni in seno all'autorità gli impongano di vigilare al ricupero di siffatto credito dell'ente pubblico (consid. 2).</w:t>
      </w:r>
    </w:p>
    <w:p>
      <w:pPr>
        <w:pStyle w:val="Heading2"/>
      </w:pPr>
      <w:r>
        <w:t>Erwägungen</w:t>
      </w:r>
    </w:p>
    <w:p>
      <w:r>
        <w:rPr>
          <w:b/>
        </w:rPr>
        <w:t>E. 2</w:t>
      </w:r>
    </w:p>
    <w:p>
      <w:r>
        <w:t>a) La seule question litigieuse est de savoir si les faits retenus par la cour cantonale constituent une gestion déloyale au sens de l' art. 159 al. 1 CP . Commet une gestion déloyale, selon cette disposition, celui qui, tenu par une obligation légale ou contractuelle de veiller sur les intérêts pécuniaires d'autrui, y aura porté atteinte. L' art. 159 CP ne sanctionne pas la violation de n'importe quelle obligation de diligence relative à tout ou partie du patrimoine d'autrui, mais seulement celle qui est attachée à une gestion; il ne suffit ainsi pas que l'auteur ait eu l'obligation contractuelle ou légale de veiller sur le patrimoine d'autrui, il faut encore qu'il ait eu la position d'un gérant; seul peut avoir la position d'un gérant celui qui dispose d'une indépendance suffisante et qui jouit d'un pouvoir de disposition autonome sur les biens qui lui sont remis;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105 IV 311 consid. 2a, ATF 102 IV 92 consid. 1b et les références citées voir également ATF 113 IV 73 consid. 6a). Une gestion déloyale peut aussi être commise par un membre d'une autorité ou un fonctionnaire, notamment lorsqu'il est chargé de gérer des fonds publics, l' art. 314 CP constituant toutefois une lex specialis ( ATF 88 IV 141 , ATF 81 IV 230 s. consid. 1a; STRATENWERTH, Bes. Teil I, 3e éd., p. 282 No 9; REHBERG, Strafrecht III, 5e éd., p. 161). b) En tant que conseiller municipal, le recourant était chargé, collégialement avec les autres membres du conseil, de gérer la commune de L.; par ailleurs, il était spécialement chargé d'administrer les Services industriels. Il n'est pas douteux, par les pouvoirs qui lui étaient dévolus, qu'il avait la position de gérant. Il faut toutefois préciser qu'à l'instar d'une position de garant, une telle position de gérant n'est évidemment pas absolue. Elle n'impose des obligations que dans les domaines où la personne revêt véritablement cette qualité, c'est-à-dire où elle jouit effectivement d'un pouvoir de disposition autonome (cf. SCHUBARTH, Kommentar Strafrecht, Bes. Teil II, art. 159 No 24 avec un renvoi à l'art. 140 No 16; voir également ATF 113 IV 73 s. et SCHMID, Einige Aspekte der strafrechtlichen Verantwortlichkeit von Gesellschaftsorganen, RPS 105 (1988), p. 168). BGE 118 IV 244 S. 247 Ainsi,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violée soit liée à la gestion confiée ( ATF 105 IV 312 consid. 3a, ATF 102 IV 92 consid. 1b, ATF 81 IV 279 , ATF 80 IV 247 ; NOLL, Bes. Teil I p. 223; REHBERG, op.cit., p. 161; TRECHSEL, Kurzkommentar, ad art. 159 No 8). c) Le recourant était chargé des Services industriels. S'il est vrai qu'il avait été désigné au conseil d'administration de diverses sociétés en raison de sa charge officielle, il n'apparaît nullement que l'activité qu'il y déployait constituait une partie intégrante de sa charge de conseiller municipal délégué aux Services industriels. Le fait qu'il ait pu conserver toutes les sommes versées par les sociétés en question dans la mesure où elles tendaient à rémunérer ou défrayer l'activité d'administrateur montre bien que l'accusé n'était pas rétribué par la commune pour cette activité et que celle-ci sortait donc du cadre de sa charge officielle. C'est pour récompenser son activité d'administrateur au sein des sociétés que celles-ci lui ont versé personnellement des tantièmes. Certes, le règlement communal l'obligeait, en raison de son statut de conseiller municipal, à restituer les tantièmes à la commune. Il ne s'agissait cependant que d'une dette à l'égard de la commune, découlant de son statut, et faisant suite à l'activité lucrative qu'il avait exercée, de façon licite, en dehors du domaine de sa charge. Dans un tel système, l'inexécution de l'obligation de restitution n'apparaît en aucune façon comme un acte de gestion des Services industriels. On ne voit pas non plus, sur la base des constatations cantonales, que le recourant ait été chargé de recouvrer ce type de créances, puisqu'il n'était pas délégué aux finances; d'autre part, n'étant pas le syndic, il n'était pas tenu spécialement de veiller à ce que les conseillers municipaux respectent les devoirs de leur charge. La cour cantonale a cependant considéré qu'étant membre du conseil municipal, il était chargé, collégialement, de veiller à ce que la commune encaisse ses créances. Cette conception est beaucoup trop large et ne peut être suivie. Ainsi qu'il a été démontré, le recourant, en exerçant ses mandats d'administrateur, accomplissait de manière licite une activité lucrative accessoire, mais extérieure aux devoirs de sa charge. Son statut de conseiller municipal l'obligeait à restituer une partie des sommes reçues dans ce contexte, à savoir les tantièmes. Il s'agissait donc BGE 118 IV 244 S. 248 d'une dette personnelle à l'égard de la commune, liée à une activité extérieure à la charge municipale. On ne voit pas qu'en tant que conseiller municipal le recourant ait eu un quelconque devoir de gestion dans le cadre duquel il aurait été tenu de procéder ou de faire procéder au recouvrement de sa propre dette personnelle. Il ne ressort pas des constatations de fait qu'il ait été chargé de façon générale de recouvrer les créances de la commune, ni qu'il ait été chargé de manière particulière de recouvrer ce type de créances. Il est notoire que les tâches sont réparties au sein d'un conseil municipal et on ne saurait faire appel à la notion de collégialité pour soutenir que n'importe quel conseiller municipal est tenu de gérer sa dette personnelle à l'égard de la commune et qu'il doit veiller à se faire notifier un commandement de payer à lui-même. On ne voit pas qu'en retardant le paiement d'une dette personnelle envers la commune, le recourant ait violé un devoir concret et précis de gestion qui lui était dévolu dans le cadre de la répartition des tâches au sein des autorités municipales. Certes, on peut déplorer qu'un magistrat municipal ne s'acquitte pas ponctuellement de ses dettes à l'égard de la commune; cela ne suffit toutefois pas pour conclure à l'existence d'une gestion déloyale, en l'absence de toute violation de ses devoirs de gestion proprement dits; au demeurant, il semble que la commune pouvait parfaitement connaître la situation et qu'il lui appartenait de réagir rapidement, le cas échéant par les voies de la poursuite pour dettes, étant observé que sa mise en demeure s'est révélée en définitive efficace. En qualifiant les faits retenus de gestion déloyale, la cour cantonale a violé l' art. 159 al. 1 CP . Le pourvoi doit donc être admis et l'arrêt cantonal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