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10</w:t>
      </w:r>
    </w:p>
    <w:p>
      <w:r>
        <w:t>Bundesgericht (BGE), 1992-01-01, FR</w:t>
      </w:r>
    </w:p>
    <w:p>
      <w:r>
        <w:rPr>
          <w:b/>
        </w:rPr>
        <w:t xml:space="preserve">Quelle: </w:t>
      </w:r>
      <w:r>
        <w:t>https://mcp.opencaselaw.ch/entscheid/bge_BGE_118_IV_10</w:t>
      </w:r>
    </w:p>
    <w:p>
      <w:r>
        <w:t>FR: ATF 118 IV 10</w:t>
      </w:r>
    </w:p>
    <w:p>
      <w:r>
        <w:t>IT: DTF 118 IV 10</w:t>
      </w:r>
    </w:p>
    <w:p>
      <w:pPr>
        <w:pStyle w:val="Heading2"/>
      </w:pPr>
      <w:r>
        <w:t>Regeste</w:t>
      </w:r>
    </w:p>
    <w:p>
      <w:r>
        <w:t>Regeste Art. 42 Ziff. 5 StGB; vorzeitige Aufhebung der Verwahrung. Gegenüber einem Verwahrten, der nach Verbüssung von zwei Dritteln der Strafe entwichen ist und der sich seither im Ausland während mehreren Jahren wohl verhalten hat, kann die Verwahrung ausnahmsweise vor Ablauf ihrer Mindestdauer aufgehoben werden, wenn anzunehmen ist, dass die dauerhafte Besserung des Täters hinreichend feststeht, so dass sich die Massnahme nicht mehr rechtfertigt (E. 2 und 3).</w:t>
      </w:r>
    </w:p>
    <w:p>
      <w:r>
        <w:t>Regeste Art. 42 ch. 5 CP; abandon anticipé de l'internement. Lorsqu'un interné s'est évadé, après avoir purgé les deux tiers de sa peine, et qu'il s'est bien comporté à l'étranger pendant de nombreuses années, il est possible exceptionnellement de mettre fin à l'internement, avant l'expiration de sa durée minimale, si l'on peut admettre que l'amendement du délinquant est suffisamment établi et durable, de sorte que la mesure ne se justifie plus (consid. 2 et 3).</w:t>
      </w:r>
    </w:p>
    <w:p>
      <w:r>
        <w:t>Regesto Art. 42 n. 5 CP; revoca anticipata dell'internamento. Ove l'internato sia evaso, dopo aver scontato i due terzi della pena, e abbia tenuto all'estero durante numerosi anni buona condotta, è eccezionalmente consentito di porre fine all'internamento prima che ne sia scaduta la durata minima, se possa ammettersi che l'emendamento durevole dell'agente risulti in modo sufficiente, di guisa che la misura più non si giustifichi (consid. 2 e 3).</w:t>
      </w:r>
    </w:p>
    <w:p>
      <w:pPr>
        <w:pStyle w:val="Heading2"/>
      </w:pPr>
      <w:r>
        <w:t>Erwägungen</w:t>
      </w:r>
    </w:p>
    <w:p>
      <w:r>
        <w:rPr>
          <w:b/>
        </w:rPr>
        <w:t>E. 1</w:t>
      </w:r>
    </w:p>
    <w:p>
      <w:r>
        <w:t>Le Tribunal fédéral examine librement et d'office les conditions de recevabilité des recours dont il est saisi ( ATF 117 Ia 2 consid. 1, 85 consid. 1). D'après l'argumentation présentée, l'interprétation de l' art. 42 ch. 5 CP retenue par l'autorité cantonale ne serait pas conforme aux principes constitutionnels et conventionnels applicables. En réalité, le recourant se plaint aussi d'une application erronée de l' art. 42 ch. 5 CP qui, comme il l'entrevoit, peut faire l'objet d'un pourvoi en nullité au Tribunal fédéral en tant que violation du droit fédéral ( art. 269 al. 1 PPF ). Compte tenu du caractère subsidiaire du recours de droit public prévu à l' art. 84 al. 2 OJ , il se justifie de considérer l'acte de l'interné comme un pourvoi en nullité. En effet, les conditions de recevabilité BGE 118 IV 10 S. 12 régissant cette voie de droit paraissent réunies; en particulier, les délais relatifs à la déclaration et au dépôt du mémoire, prévus à l' art. 272 al. 1 et 2 PPF , ont été observés.</w:t>
      </w:r>
    </w:p>
    <w:p>
      <w:r>
        <w:rPr>
          <w:b/>
        </w:rPr>
        <w:t>E. 2</w:t>
      </w:r>
    </w:p>
    <w:p>
      <w:r>
        <w:t>Aux termes de l' art. 42 ch. 5 CP , sur proposition de l'autorité compétente, le juge pourra exceptionnellement mettre fin à l'internement avant l'expiration de sa durée minimale, si celui-ci ne se justifie plus et si les deux tiers de la durée de la peine sont écoulés. Quant à l'absence de proposition de la part de l'autorité compétente, sa portée n'a pas fait l'objet de griefs du recourant, qui n'est pas lésé à cet égard. Il n'est dès lors pas nécessaire d'examiner ce point. Au demeurant, il paraît clair à ce sujet que le législateur avait en vue uniquement les cas où l'autorité compétente pouvait suivre de très près l'évolution de l'interné ( ATF 106 IV 187 consid. 3 et 4). Nul ne conteste que le recourant n'a pas subi la durée minimum de l'internement, qui est, en règle générale, de cinq ans au moins, en cas de réintégration ( art. 42 ch. 4 al. 3 CP ; voir ATF 106 IV 335 consid. 5 et ATF 101 Ib 32 consid. 2b). Il est également admis que cependant plus des deux tiers des peines ont été purgés. D'après le décompte approximatif de l'autorité cantonale, le délinquant aurait subi 1749 jours de détention sur un total de 2085 jours, auxquels il avait été condamné. Ainsi, il demeure à examiner si le cas du recourant peut être considéré comme l'une des exceptions qui permettraient de justifier un abandon anticipé de l'internement.</w:t>
      </w:r>
    </w:p>
    <w:p>
      <w:r>
        <w:rPr>
          <w:b/>
        </w:rPr>
        <w:t>E. 3</w:t>
      </w:r>
    </w:p>
    <w:p>
      <w:r>
        <w:t>a) Le but premier de l'internement est d'assurer la sécurité publique contre les délinquants d'habitude, insensibles aux autres sanctions pénales ( ATF 105 IV 85 consid. b; ATF 101 IV 267 consid. 2; ATF 99 IV 73 ). Cette mesure de sûreté constitue une grave atteinte à la liberté, notamment par sa durée indéterminée (voir ATF 92 IV 79 consid. 3); c'est le moyen ultime du système de répression pénale en Suisse ( ATF 107 IV 18 consid. 2). Il faut faire preuve de retenue dans l'application de l' art. 42 CP et y renoncer, au profit de l'exécution de la peine, lorsque cette dernière paraît présenter des chances égales sur le plan de la prévention ( ATF 107 IV 19 consid. 3). Aux termes de l'arrêt - non publié - du 7 décembre 1981 concernant le recourant, l'internement constitue une mesure dont la durée dépend non pas de la gravité de l'infraction et de la culpabilité de l'auteur mais bien, au premier chef, du temps nécessaire pour amender le détenu. Afin d'éviter des abus, le législateur a pris soin d'instituer une réglementation obligeant l'autorité à réexaminer le cas, en vue de mettre fin à la mesure aussitôt qu'elle n'apparaît plus nécessaire; BGE 118 IV 10 S. 13 les art. 42 ch. 4 al. 2, 43 ch. 4 al. 1, 44 ch. 3 et 4 et 45 ch. 1 al. 2 CP sont cités (arrêt du 7 décembre 1981, X. c. Département de la justice, de la police et des affaires militaires du canton de Vaud, consid. 3 p. 5/6). Cet aspect d'abandon de la mesure dès qu'elle ne se justifie plus est essentiel; l'autorité doit examiner d'office si l'internement ne paraît plus nécessaire ( ATF 98 Ib 194 ). Le cas exceptionnel prévu à l' art. 42 ch. 5 CP doit être interprété à la lumière de ces règles. Il en va notamment ainsi de la vraisemblance confinant à la certitude que l'interné ne récidivera pas, exigée par la jurisprudence ( ATF 106 IV 187 ). b) En l'espèce, nul ne conteste qu'après avoir quitté prématurément le pénitencier, en 1982, le recourant se soit bien conduit. Son penchant à la délinquance a disparu. Il est au service de la même entreprise depuis 1982. Il a notamment été caissier. Son employeur le dit travailleur et fiable. Sur le plan personnel, il vit maritalement depuis la fin de l'année 1982 avec la même femme. Dans ces circonstances, force est d'admettre qu'aujourd'hui l'internement ne se justifie plus. Le recourant n'est plus un délinquant d'habitude incorrigible menaçant la société. Son amendement paraît suffisamment vraisemblable et durable pour que son cas puisse être considéré comme exceptionnel au sens de l' art. 42 ch. 5 CP . Il serait contraire aux règles précitées et au but de l'internement de le soumettre - ne fût-ce que quelques semaines - à une mesure dite de sûreté, laquelle (on l'a vu) doit prendre fin aussitôt qu'elle n'apparaît plus nécessaire. c) Certes, il n'a pas échappé aux instances cantonales que cette manière de raisonner donne l'impression d'un traitement plus favorable pour celui qui s'évade qu'à l'égard de l'interné qui se soumet à la mesure. Est toutefois décisif le fait que l'internement ne se justifie plus lorsque l'amendement du condamné est aussi complet et sûr que celui dont a fait preuve le recourant. On peut ajouter que celui-ci, malgré son départ prématuré du pénitencier, a enduré certains désagréments découlant de la mesure. En effet, il ne pouvait revenir en Suisse sans risquer d'être interné à nouveau. Selon lui, cette situation l'a entravé dans sa carrière professionnelle au service d'une entreprise franco-suisse. On peut dès lors se demander si, tout compte fait, il a été nettement privilégié. Enfin, l'écoulement du temps joue aussi un rôle. Le délai de dix ans prévu à l'art. 45 ch. 6 seconde phrase CP est presque écoulé. d) Ainsi, faute d'avoir admis l'existence d'un cas exceptionnel permettant de mettre fin à l'internement, l'autorité cantonale a violé BGE 118 IV 10 S. 14 le droit fédéral, ce qui entraîne l'annulation de l'arrêt attaqué. La cause est renvoyée à la cour de cassation cantonale afin que soit levée la mesure d'internement prononcée contre le recourant et qu'il soit renoncé à l'exécution du solde des peines, qui n'ont pas été subies.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