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93</w:t>
      </w:r>
    </w:p>
    <w:p>
      <w:r>
        <w:t>Bundesgericht (BGE), 1992-01-01, DE</w:t>
      </w:r>
    </w:p>
    <w:p>
      <w:r>
        <w:rPr>
          <w:b/>
        </w:rPr>
        <w:t xml:space="preserve">Quelle: </w:t>
      </w:r>
      <w:r>
        <w:t>https://mcp.opencaselaw.ch/entscheid/bge_BGE_118_II_93</w:t>
      </w:r>
    </w:p>
    <w:p>
      <w:r>
        <w:t>FR: ATF 118 II 93</w:t>
      </w:r>
    </w:p>
    <w:p>
      <w:r>
        <w:t>IT: DTF 118 II 93</w:t>
      </w:r>
    </w:p>
    <w:p>
      <w:pPr>
        <w:pStyle w:val="Heading2"/>
      </w:pPr>
      <w:r>
        <w:t>Regeste</w:t>
      </w:r>
    </w:p>
    <w:p>
      <w:r>
        <w:t>Regeste Bedeutung der Offizialmaxime nach Art. 280 Abs. 2 ZGB im Berufungsverfahren. Art. 280 Abs. 2 ZGB bedeutet nicht, dass das mündige Kind im Prozess auf Unterhalt gegenüber einem Elternteil im Berufungsverfahren vor Bundesgericht neue Anträge stellen kann (Art. 55 Abs. 1 lit. b OG).</w:t>
      </w:r>
    </w:p>
    <w:p>
      <w:r>
        <w:t>Regeste Portée de la maxime officielle selon l'art. 280 al. 2 CC dans la procédure de recours en réforme. L'art. 280 al. 2 CC ne signifie pas que, dans le cadre du procès en contribution alimentaire à l'encontre d'un parent, l'enfant majeur peut prendre de nouvelles conclusions devant le Tribunal fédéral dans la procédure de recours en réforme (art. 55 al. 1 let. b OJ).</w:t>
      </w:r>
    </w:p>
    <w:p>
      <w:r>
        <w:t>Regesto Portata della massima ufficiale secondo l'art. 280 cpv. 2 CC nella procedura di ricorso per riforma. L'art. 280 cpv. 2 CC non permette al figlio maggiorenne, nell'ambito del processo contro un genitore per il proprio mantenimento, di presentare nuove conclusioni nella procedura di ricorso per riforma innanzi al Tribunale federale (art. 55 cpv. 1 lett. b OG).</w:t>
      </w:r>
    </w:p>
    <w:p>
      <w:pPr>
        <w:pStyle w:val="Heading2"/>
      </w:pPr>
      <w:r>
        <w:t>Erwägungen</w:t>
      </w:r>
    </w:p>
    <w:p>
      <w:r>
        <w:rPr>
          <w:b/>
        </w:rPr>
        <w:t>E. 1</w:t>
      </w:r>
    </w:p>
    <w:p>
      <w:r>
        <w:t>a) Mit seinem Hauptantrag verlangt der Kläger vor Bundesgericht mehr, als ihm die erste Instanz als Unterhaltsbeitrag zugesprochen hatte. Die Verfügung des Kantonsgerichtspräsidenten war BGE 118 II 93 S. 94 aber nur vom Beklagten, nicht auch vom Kläger an die Obergerichtskommission weitergezogen worden. Die Vorinstanz hält deshalb in ihrem Urteil fest, mehr als die vom ersten Richter zugesprochenen Fr. 1'600.-- im Monat stünden gar nicht mehr im Streit. Neue Begehren sind im Berufungsverfahren vor Bundesgericht unzulässig ( Art. 55 Abs. 1 lit. b OG ). Die Berufungsanträge dürfen daher nicht über das hinausgehen, was vor der letzten kantonalen Instanz noch streitig gewesen ist. Es ist allerdings zu beachten, dass nach Art. 280 Abs. 2 ZGB für Verfahren über die Unterhaltspflicht der Eltern - wie bei Abstammungsprozessen nach Art. 254 Ziff. 1 ZGB - die Offizialmaxime gilt. Nach der Rechtsprechung des Bundesgerichts bezieht sich dieser prozessuale Grundsatz nicht nur auf die Abklärung des Sachverhalts und die Beweiswürdigung, sondern auch auf die Frage der Verbindlichkeit der Parteianträge. Der Richter ist deshalb im Bereich des Kinderunterhaltes grundsätzlich nicht an die Parteianträge gebunden (nicht veröffentlichter Entscheid vom 22. Dezember 1983 i.S. G. c. A.; E. 3a). In Scheidungsverfahren hat das Bundesgericht noch unter dem alten Kindesrecht aus der Offizialmaxime den Schluss gezogen, dass die Mutter in einer Berufung höhere Kinderalimente fordern kann als vor letzter kantonaler Instanz ( BGE 82 II 470 ff.). Die obere kantonale Instanz kann die Kinderalimente sogar erhöhen, wenn diese bei ihr gar nicht mehr streitig sind (nicht veröffentlichter Entscheid vom 13. März 1986 i.S. A. c. P.; E. 6). Ob diese Maxime auch zugunsten der Eltern gilt, hat das Bundesgericht in BGE 109 II 197 f. (E. 2) noch offengelassen, in einem nicht veröffentlichten Entscheid vom 19. Januar 1990 (i.S. L. c. C.) jedoch bejaht. Es fragt sich allerdings, ob der Offizialmaxime die gleiche weite Bedeutung beigemessen werden kann, wenn es um den Unterhalt eines mündigen Kindes geht. Sowohl Art. 280 Abs. 2 ZGB als auch Art. 254 Ziff. 1 ZGB sehen nach ihrem Wortlaut ausschliesslich vor, dass das Gericht den Sachverhalt von Amtes wegen zu erforschen und die Beweise nach seiner freien Überzeugung zu würdigen habe. Diese verfahrensrechtlichen Vorschriften haben ihren Grund darin, dass sowohl bei der Abstammung als auch beim Unterhalt ein erhöhtes Interesse an der materiellen Wahrheit besteht, deren Findung gefördert werden soll. Ein besonderes, verstärktes Bedürfnis nach Schutz der Kindesinteressen besteht zudem im Scheidungsverfahren, weil hier dem Kind selber keine Parteistellung zukommt (kritisch dazu RUTH REUSSER, Die Geltendmachung des Unterhaltsanspruchs des BGE 118 II 93 S. 95 Scheidungskindes - eine unorthodoxe Meinung, in: Festschrift Hegnauer, S. 395 ff.), so dass seine Interessen in vermehrtem Masse vom Gericht gewahrt werden müssen. Im bereits genannten Entscheid BGE 82 II 470 ff. war es überdies so, dass die Ehefrau vor Bundesgericht nur eine für das Kind günstigere Aufteilung zwischen Frauenrente und Kinderrente als im kantonalen Verfahren verlangte, damit aber nicht den Gesamtbetrag überstieg, den sie von ihrem Ehemann forderte. Dass diesfalls eine Bindung an die vor letzter kantonaler Instanz geltend gemachten Kinderalimente der Sache nicht gerecht werden könnte, ist ohne weiteres einsichtig. Die Höhe des Unterhaltsbeitrages, der vom Elternteil, dem das Kind nicht zugewiesen wird, zu bezahlen ist, hängt wesentlich davon ab, was der das Kind unmittelbar betreuende Elternteil selber an den Kinderunterhalt beisteuern kann. Dies wird aber massgeblich verändert, wenn dem Inhaber der elterlichen Gewalt in letzter kantonaler Instanz eine Scheidungsrente verweigert oder diese erheblich gekürzt wird. Hier muss es möglich sein, der durch das letzte kantonale Urteil bewirkten Änderung der Leistungskraft auch im Berufungsverfahren vor Bundesgericht noch Rechnung zu tragen. Mit Bezug auf die Leistungskraft der Ehegatten bilden eben die Scheidungsrente und der Kinderunterhalt ein Ganzes, dessen einzelne Teile nicht vollständig unabhängig von- einander festgesetzt werden können. Verlangt demgegenüber das mündige Kind Unterhalt, stellt sich die Frage nicht in gleicher Weise. Dieses Verfahren erfolgt unabhängig von einem Scheidungsprozess, so dass keine unmittelbare Wechselwirkung zwischen dem Kinderunterhalt und der Höhe der Scheidungsrente entstehen kann. Auch die Interessenlage zeigt sich nicht in gleicher Weise. Während die Unterhaltspflicht gegenüber dem unmündigen Kind die Regel darstellt, unterstreicht das Gesetz mit dem Erfordernis der Zumutbarkeit den Ausnahmecharakter, den die Unterhaltsleistungen gegenüber dem mündigen Kind darstellen ( BGE 111 II 416 ). Dies rechtfertigt es aber, dem Anspruchsberechtigten einen weniger starken prozessualen Schutz zu gewähren und die Elterninteressen stärker zu berücksichtigen (nicht veröffentlichter Entscheid vom 22. Oktober 1987 i.S. P. c. P.; E. 3). Es besteht deshalb kein Grund, in diesen Fällen von Art. 55 Abs. 1 lit. b OG abzuweichen und neue Anträge vor Bundesgericht noch zuzulassen. Entsprechend verletzt auch eine kantonale Instanz kein Bundesrecht, wenn sie - wie im vorliegenden Fall - auf einen Antrag auf höhere Unterhaltsbeiträge mit dem Argument nicht eintritt, nur BGE 118 II 93 S. 96 der Unterhaltspflichtige, nicht aber der Unterhaltsberechtigte habe ein Rechtsmittel eingelegt. Da die Vorinstanz somit zu Recht auf den Antrag nicht eingetreten ist, den von der ersten Instanz auf Fr. 1'600.-- bezifferten Unterhaltsbeitrag auf Fr. 2'300.-- zu erhöhen, erweist sich der in der Berufung gestellte Hauptantrag, soweit es um die Erhöhung des monatlichen Unterhaltsbeitrags auf Fr. 1'900.-- geht, als neu und damit als unzulässig.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