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528</w:t>
      </w:r>
    </w:p>
    <w:p>
      <w:r>
        <w:t>Bundesgericht (BGE), 1992-01-01, DE</w:t>
      </w:r>
    </w:p>
    <w:p>
      <w:r>
        <w:rPr>
          <w:b/>
        </w:rPr>
        <w:t xml:space="preserve">Quelle: </w:t>
      </w:r>
      <w:r>
        <w:t>https://mcp.opencaselaw.ch/entscheid/bge_BGE_118_II_528</w:t>
      </w:r>
    </w:p>
    <w:p>
      <w:r>
        <w:t>FR: ATF 118 II 528</w:t>
      </w:r>
    </w:p>
    <w:p>
      <w:r>
        <w:t>IT: DTF 118 II 528</w:t>
      </w:r>
    </w:p>
    <w:p>
      <w:pPr>
        <w:pStyle w:val="Heading2"/>
      </w:pPr>
      <w:r>
        <w:t>Regeste</w:t>
      </w:r>
    </w:p>
    <w:p>
      <w:r>
        <w:t>Regeste Gesamtarbeitsvertraglicher Anspruch auf Lohnkontrolle gegenüber einem Aussenseiter; sachliche Zuständigkeit des Zivilrichters; Berufungsvoraussetzungen (Art. 6 Abs. 1 und Abs. 2 AVEG; Art. 46 und Art. 48 Abs. 1 OG). 1. Berufungsfähigkeit eines Entscheides, mit dem der Regierungsrat eines Kantons seine Zuständigkeit zur Anordnung einer Lohnkontrolle verneint (E. 2). 2. Keine Verletzung von Bundesrecht liegt in der Auffassung, der Zivilrichter und nicht der Regierungsrat sei zuständig, wenn nicht nur streitig ist, ob ein von den Parteien des Gesamtarbeitsvertrages unabhängiges Kontrollorgan einzusetzen sei, sondern der Aussenseiter auch die rechtliche Grundlage des Kontrollanspruchs bestreitet (E. 3).</w:t>
      </w:r>
    </w:p>
    <w:p>
      <w:r>
        <w:t>Regeste Prétention au contrôle du salaire déduite d'une convention collective de travail et dirigée contre une personne non liée par la convention; compétence matérielle du juge civil; conditions du recours en réforme (art. 6 al. 1 et al. 2 LECCT; art. 46 et art. 48 al. 1 OJ). 1. Recevabilité du recours en réforme contre une décision par laquelle le Conseil d'Etat d'un canton se déclare incompétent pour ordonner un contrôle du salaire (consid. 2). 2. L'opinion selon laquelle le juge civil, et non pas le Conseil d'Etat, est compétent n'est pas contraire au droit fédéral lorsque la désignation d'un organe de contrôle indépendant des parties n'est pas seule litigieuse, la partie non liée par la convention contestant le fondement juridique de la prétention au contrôle (consid. 3).</w:t>
      </w:r>
    </w:p>
    <w:p>
      <w:r>
        <w:t>Regesto Pretesa al controllo del salario dedotta da un contratto collettivo di lavoro e diretta contro una persona non vincolata dallo stesso; competenza materiale del Giudice civile; condizioni di ammissibilità del ricorso per riforma (art. 6 cpv. 1 e cpv. 2 LOCCL; art. 46 e art. 48 cpv. 1 OG). 1. Ricevibilità del ricorso per riforma contro una decisione con la quale il Consiglio di Stato di un Cantone si dichiara incompetente a ordinare un controllo del salario (consid. 2). 2. Se, oltre alla nomina di un organo indipendente di controllo, vi è pure contestazione sul fondamento giuridico della pretesa al controllo, non è contrario al diritto federale ritenere competente il giudice civile al posto del Consiglio di Stato (consid. 3).</w:t>
      </w:r>
    </w:p>
    <w:p>
      <w:pPr>
        <w:pStyle w:val="Heading2"/>
      </w:pPr>
      <w:r>
        <w:t>Erwägungen</w:t>
      </w:r>
    </w:p>
    <w:p>
      <w:r>
        <w:rPr>
          <w:b/>
        </w:rPr>
        <w:t>E. 1</w:t>
      </w:r>
    </w:p>
    <w:p>
      <w:r>
        <w:t>Die Paritätische Berufskommission ist gemäss ihren Statuten vom 11. Oktober 1974 ein Verein im Sinne von Art. 60 ff. ZGB . Mitglieder dieses Vereines sind die Sektionen Luzern und Luzern-Land des Schweizerischen Baumeisterverbandes, des Schweizerischen Bau- und Holzarbeiterverbandes, des Christlichen Holz- und Bauarbeiterverbandes sowie des Landesverbandes freier Schweizer Arbeiter. Zweck des Vereines ist insbesondere die Wahrnehmung der gemeinsamen Berufsinteressen gegenüber Behörden und Privaten sowie die Überwachung der Einhaltung der Gesamtarbeitsverträge. Da es sich bei der Berufungsklägerin demnach um eine juristische Person handelt, ist die von Amtes wegen zu prüfende Frage ihrer Parteifähigkeit (vgl. MESSMER/IMBODEN, Die eidgenössischen Rechtsmittel in Zivilsachen, S. 14 Rz. 11) zu bejahen.</w:t>
      </w:r>
    </w:p>
    <w:p>
      <w:r>
        <w:rPr>
          <w:b/>
        </w:rPr>
        <w:t>E. 2</w:t>
      </w:r>
    </w:p>
    <w:p>
      <w:r>
        <w:t>a) Die Berufung ist abgesehen von den in Art. 44 lit. a bis f und Art. 45 lit. b OG abschliessend aufgezählten Fällen nur in Zivilrechtsstreitigkeiten zulässig ( Art. 44 Abs. 1 und Art. 46 OG ). Zu verstehen sind darunter Streitigkeiten, die in einem kontradiktorischen Verfahren ausgetragen werden, das die endgültige Regelung zivilrechtlicher Verhältnisse zum Ziel hat ( BGE 117 II 164 , BGE 116 II 377 , BGE 113 II 14 , BGE 112 II 147 E. 1). Wird mit der Berufung ein Nichteintretensentscheid angefochten, so beurteilt sich die Frage, ob ein zivilrechtlicher Anspruch streitig ist, aufgrund der Anträge und Sachvorbringen des Klägers ( BGE 115 II 239 E. 1a). Mit dem Gesuch vom 5. Dezember 1990 beantragte die Berufungsklägerin, der Regierungsrat habe gegenüber der Berufungsbeklagten die in Art. 10.4 LMV vorgesehene Kontrolle anzuordnen. Wie sich aus der Begründung des Gesuchs ergibt, lag diesem Antrag die Auffassung zugrunde, der Regierungsrat sei gemäss Art. 6 Abs. 1 und 2 AVEG zuständig, eine solche Kontrolle anzuordnen, dafür ein unabhängiges Kontrollorgan im Sinne dieser Vorschriften einzusetzen sowie Gegenstand und Umfang der Kontrolle zu bestimmen. In Art. 6 AVEG wird festgehalten, Arbeitgeber und Arbeitnehmer, auf die der Geltungsbereich des Gesamtarbeitsvertrages ausgedehnt worden ist, könnten jederzeit bei der zuständigen kantonalen Behörde die Einsetzung eines besondern, von den Vertragsparteien unabhängigen Kontrollorgans an Stelle der im Vertrag vorgesehenen Kontrollorgane verlangen (Abs. 1); die zuständige kantonale Behörde bestimme Gegenstand und Umfang der Kontrolle nach Anhörung der Vertragsparteien und des Arbeitgebers oder Arbeitnehmers, BGE 118 II 528 S. 531 der die Einsetzung eines solchen Organs verlange (Abs. 2). Als streitig betrachtete die Berufungsklägerin somit den sich aus Art. 10.4 LMV ergebenden Anspruch, Lohnkontrollen durchzuführen oder durchführen zu lassen. Dass sich daran auch vor Bundesgericht nichts geändert hat, zeigen im übrigen die Anträge und Begründungen der Berufung und der Berufungsantwort. Ansprüche aus Gesamtarbeitsverträgen werden nach der Rechtsprechung des Bundesgerichts auch dann dem Privatrecht zugeordnet, wenn sie auf allgemeinverbindlich erklärten Bestimmungen beruhen und gegenüber Aussenseitern geltend gemacht werden ( BGE 98 II 208 f.). Das sich aus Art. 10.4 LMV ergebende Kontrollrecht kann sodann selbständigen Charakter haben, wenn seine Durchsetzung - wie im vorliegenden Fall - nicht bloss eine vorsorgliche oder vorbereitende Massnahme darstellt. Vergleichbar dem ebenfalls selbständig einklagbaren Recht des Aktionärs auf Auskunfterteilung ( Art. 697 Abs. 4 OR ; BGE BGE 112 II 147 E. 2b: zu Art. 697 aOR) kann das Kontrollrecht in einem eigenen Verfahren durchgesetzt werden, in dem endgültig über dessen Bestand zu entscheiden ist. Erfüllt ist schliesslich auch die Voraussetzung eines kontradiktorischen Verfahrens, da der Regierungsrat der Berufungsbeklagten - in Übereinstimmung mit dem Gesuch der Berufungsklägerin - von Anfang an volle Parteistellung eingeräumt hat. b) Ebenfalls gegeben ist die weitere Voraussetzung, dass sich die Berufung gegen einen Endentscheid eines oberen kantonalen Gerichtes oder einer sonstigen Spruchbehörde richten muss ( Art. 48 Abs. 1 OG ). Einerseits werden Nichteintretensentscheide wie der hier angefochtene nach der neueren Rechtsprechung des Bundesgerichts als Endentscheide im Sinne von Art. 48 Abs. 1 OG betrachtet ( BGE 115 II 239 f. E. 1b). Andererseits fällt der Regierungsrat aufgrund seiner Stellung und Funktion innerhalb des Kantons unter den Begriff der "sonstigen Spruchbehörde" (vgl. POUDRET, Commentaire de la loi fédérale d'organisation judiciaire, Bd. II, N 1.2.3 zu Art. 48 OG ; MESSMER/IMBODEN, a.a.O., S. 90 Rz. 64 insb. Fn. 7). c) Zu prüfen bleibt, ob es sich um eine vermögensrechtliche Streitsache im Sinne von Art. 46 OG handelt. Massgebend ist dafür, ob der Rechtsgrund des streitigen Anspruchs letzten Endes im Vermögensrecht ruht, mit der Klage letztlich und überwiegend ein wirtschaftlicher Zweck verfolgt wird ( BGE 116 II 380 E. 2a mit Hinweis; MESSMER/IMBODEN, a.a.O., S. 79 Rz. 57). Gegenstand der von der Berufungsklägerin angestrebten Kontrolle sind die Lohnzahlungen der Berufungsbeklagten an ihre Arbeitnehmer. Obschon diesem BGE 118 II 528 S. 532 Kontrollrecht - wie bereits erörtert - selbständiger Charakter zukommt, ist es mittelbar auf vermögenswerte Interessen ausgerichtet, denn damit soll insbesondere erreicht werden, dass allenfalls verletzte Lohnvorschriften des LMV gegenüber der Berufungsbeklagten durchgesetzt werden können. Auf die Berufung ist somit nur einzutreten, falls der gemäss Art. 46 OG erforderliche Streitwert von Fr. 8'000.-- erreicht wird. In der Berufungsschrift wird dies zwar behauptet, aber nicht begründet. Die Berufungsantwort äussert sich nicht dazu. Ausdrückliche Angaben zum Streitwert lassen sich sodann weder dem angefochtenen Entscheid noch den Rechtsschriften der Parteien im kantonalen Verfahren entnehmen. In einem solchen Fall wird nach der Praxis des Bundesgerichts in der Regel auf die Berufung nicht eingetreten ( BGE 116 II 381 Nr. 69, BGE 109 II 493 ff. E. 1ee). Unter den hier gegebenen Umständen vermag diese Praxis indessen nicht zu befriedigen. Sie setzte voraus, dass die Berufungsklägerin objektiv beurteilt in der Lage wäre, konkrete Angaben zur Höhe der mittelbar auf dem Spiel stehenden Vermögensinteressen zu machen, auf welche sich das Bundesgericht bei der ermessensweisen Schätzung des Streitwerts ( Art. 36 Abs. 2 OG ) stützen könnte. Nicht aus dem Blick zu verlieren ist in diesem Zusammenhang, dass in Übereinstimmung mit Art. 36 Abs. 1 OG primär auf die Verhältnisse auf der Seite der Berufungsklägerin abgestellt werden muss. Ausschlaggebend sind deshalb in erster Linie die der Klage zugrundeliegenden Vermögensinteressen der Berufungsklägerin bzw. der ihr als Mitglieder angehörenden Arbeitgeber- und Arbeitnehmervereinigungen. Angaben zum Unternehmen der Berufungsbeklagten (Anzahl Arbeitnehmer, gesamte Lohnsumme) hätten es dagegen - auf der Grundlage einer hypothetischen Verletzung des LMV durch die Berufungsbeklagte - allenfalls gestattet, das Vermögensinteresse zu bestimmen, das diese an einer Verhinderung der Lohnkontrolle hat. Obschon auch dieses Interesse allein schon in Anbetracht der zeitlichen Dauer des LMV als beträchtlich eingeschätzt werden muss, wird es doch von jenem der Berufungsklägerin übertroffen, da auf deren Seite darüber hinaus zu berücksichtigen ist, dass mit der Erhebung der Klage indirekt bezweckt wird, auch die Einhaltung von zukünftigen, allgemeinverbindlich erklärten Gesamtarbeitsverträgen zu gewährleisten, und zwar nicht nur durch die Berufungsbeklagte, sondern - als Präventivmassnahme verstanden - auch durch andere Aussenseiter. Insoweit ist es der Berufungsklägerin aber kaum möglich, Angaben zum Umfang ihrer ohnehin nur BGE 118 II 528 S. 533 mittelbar vorhandenen Vermögensinteressen zu machen. Das Fehlen solcher Angaben in der Berufungsschrift darf ihr deshalb nicht zum Nachteil gereichen. Unter diesen Umständen rechtfertigt es sich, die ermessensweise Schätzung des Streitwertes allein aufgrund der Tatsachen vorzunehmen, welche das Bundesgericht den kantonalen Akten entnehmen kann. Diese Schätzung führt in Anbetracht der auf der Seite der Berufungsklägerin vorhandenen, bereits erwähnten globalen Vermögensinteressen zum Ergebnis, dass der nach Art. 46 OG erforderliche Streitwert von Fr. 8'000.-- auf jeden Fall erreicht ist. Auf die Berufung kann deshalb eingetreten werden.</w:t>
      </w:r>
    </w:p>
    <w:p>
      <w:r>
        <w:rPr>
          <w:b/>
        </w:rPr>
        <w:t>E. 3</w:t>
      </w:r>
    </w:p>
    <w:p>
      <w:r>
        <w:t>In materieller Hinsicht ist einzig zu beurteilen, ob der Regierungsrat, wie mit der Berufung gerügt wird, Art. 6 Abs. 1 und 2 AVEG verletzt hat. Die Anwendung des kantonalen Rechts (§ 2 Abs. 2c VVO zum AVEG: Zuständigkeit des Regierungsrates im Sinne von Art. 6 Abs. 1 und 2 AVEG ) wird dagegen nicht überprüft ( Art. 43 OG ; BGE 115 II 241 E. 1c). Entgegen der mit der Berufung vertretenen Auffassung lässt sich aus dem Wortlaut von Art. 6 Abs. 1 AVEG , der für die Auslegung in erster Linie massgebend ist ( BGE 117 II 499 E. 6a mit Hinweisen), nicht ableiten, der Regierungsrat und nicht der Zivilrichter sei auch dann zuständig, wenn nicht nur streitig ist, ob ein von den Parteien des Gesamtarbeitsvertrages unabhängiges Kontrollorgan einzusetzen sei, sondern der Aussenseiter bereits die rechtliche Grundlage des Kontrollanspruchs bestreitet. Aus dem Wortlaut ergibt sich vielmehr, dass diese Bestimmung auf die Regelung des Falles beschränkt ist, in welchem der Aussenseiter an sich mit der Einsetzung eines Kontrollorganes einverstanden ist, die im Gesamtarbeitsvertrag für diese Aufgabe vorgesehene Paritätische Berufskommission aber ablehnt. Dass darin der Sinn der Bestimmung liegt, ist bereits in der Botschaft des Bundesrates zum Entwurf des AVEG (BBl 1954 I 178) festgehalten worden und entspricht auch der in der Literatur vertretenen Meinung (SCHWEINGRUBER/BIGLER, Kommentar zum Gesamtarbeitsvertrag, 3. Auflage, N 1 zu Art. 6 AVEG , S. 120). Aus Abs. 2 von Art. 6 AVEG , der eindeutig auf Abs. 1 Bezug nimmt und inhaltlich auf das Verfahren bei der Einsetzung des besonderen Kontrollorgans beschränkt ist, ergibt sich nichts anderes. Die Aufteilung der sachlichen Zuständigkeit zwischen Zivilrichter und "zuständiger kantonaler Behörde" im Sinne von Art. 6 Abs. 1 AVEG , so wie sie im angefochtenen Entscheid vorgenommen worden ist, verstösst aus diesen Gründen nicht gegen Bundesrecht. BGE 118 II 528 S. 534</w:t>
      </w:r>
    </w:p>
    <w:p>
      <w:r>
        <w:rPr>
          <w:b/>
        </w:rPr>
        <w:t>E. 4</w:t>
      </w:r>
    </w:p>
    <w:p>
      <w:r>
        <w:t>Für den Entscheid über die Berufung unerheblich und deshalb nicht zu prüfen ist im übrigen, ob die Berufungsklägerin entsprechend ihrer in der Berufungsschrift vorgebrachten Behauptung befugt ist, in eigenem Namen - und nicht nur als bevollmächtigte Vertreterin der am Landesmantelvertrag beteiligten Parteien - gestützt auf Art. 10.4 LMV gegen die Berufungsbeklagte auf Duldung der Lohnkontrolle zu klagen. Immerhin ist darauf hinzuweisen, dass die Frage der Aktivlegitimation von Paritätischen Berufskommissionen in der Literatur umstritten ist (vgl. dazu VISCHER, N 14 f. zu Art. 357b OR ; STREIFF/VON KÄNEL, Leitfaden zum Arbeitsvertragsrecht, 5. Aufl., N 5 zu Art. 357b OR ; SCHWEINGRUBER/BIGLER, a.a.O., N 5 zu Art. 357b OR , S. 87; PETER WEHRLI, Die gemeinsame Durchführung des Gesamtarbeitsvertrages gemäss Art. 323ter OR , Diss. Zürich 1961, S. 26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