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376</w:t>
      </w:r>
    </w:p>
    <w:p>
      <w:r>
        <w:t>Bundesgericht (BGE), 1992-01-01, DE</w:t>
      </w:r>
    </w:p>
    <w:p>
      <w:r>
        <w:rPr>
          <w:b/>
        </w:rPr>
        <w:t xml:space="preserve">Quelle: </w:t>
      </w:r>
      <w:r>
        <w:t>https://mcp.opencaselaw.ch/entscheid/bge_BGE_118_II_376</w:t>
      </w:r>
    </w:p>
    <w:p>
      <w:r>
        <w:t>FR: ATF 118 II 376</w:t>
      </w:r>
    </w:p>
    <w:p>
      <w:r>
        <w:t>IT: DTF 118 II 376</w:t>
      </w:r>
    </w:p>
    <w:p>
      <w:pPr>
        <w:pStyle w:val="Heading2"/>
      </w:pPr>
      <w:r>
        <w:t>Regeste</w:t>
      </w:r>
    </w:p>
    <w:p>
      <w:r>
        <w:t>Regeste Vorsorgliche Massnahmen für die Dauer des Scheidungsprozesses (Art. 145 ZGB). 1. Anwendbarkeit von Art. 8 ZGB. Wo es nach dem kantonalen Verfahrensrecht genügt, die behaupteten Tatsachen glaubhaft zu machen, kommt Art. 8 ZGB in seinem eigentlichen Ausmass gar nicht zum Tragen (E. 3). 2. Bemessung von Unterhaltsbeiträgen. Obere Schranke für den Unterhaltsanspruch bildet auch während der Dauer des Scheidungsprozesses die Lebenshaltung bis zur Aufhebung des gemeinsamen Haushaltes (E. 20).</w:t>
      </w:r>
    </w:p>
    <w:p>
      <w:r>
        <w:t>Regeste Mesures provisoires pour la durée de la procédure de divorce (art. 145 CC). 1. Applicabilité de l'art. 8 CC. Quand le droit de procédure cantonal se contente de vraisemblance pour les faits allégués, l'art. 8 CC n'est pas directement applicable (consid. 3). 2. Fixation des contributions d'entretien. Constitue la limite supérieure du droit à l'entretien, également pendant la durée de la procédure de divorce, le train de vie mené jusqu'à la cessation de la vie commune (consid. 20).</w:t>
      </w:r>
    </w:p>
    <w:p>
      <w:r>
        <w:t>Regesto Misure provvisionali per la durata della procedura di divorzio (art. 145 CC). 1. Applicabilità dell'art. 8 CC. Se il diritto di procedura cantonale si accontenta della verosimiglianza dei fatti allegati, l'art. 8 CC non è direttamente applicabile (consid. 3). 2. Fissazione di contributi per il mantenimento. Il limite superiore del diritto al mantenimento, anche durante la procedura di divorzio, è costituito dal tenore di vita avuto sino alla cessazione della vita comune (consid. 20).</w:t>
      </w:r>
    </w:p>
    <w:p>
      <w:pPr>
        <w:pStyle w:val="Heading2"/>
      </w:pPr>
      <w:r>
        <w:t>Erwägungen</w:t>
      </w:r>
    </w:p>
    <w:p>
      <w:r>
        <w:rPr>
          <w:b/>
        </w:rPr>
        <w:t>E. 3</w:t>
      </w:r>
    </w:p>
    <w:p>
      <w:r>
        <w:t>Im Verfahren betreffend vorsorgliche Massnahmen für die Dauer des Scheidungsprozesses gemäss Art. 145 ZGB genügt es, die behaupteten Tatsachen glaubhaft zu machen (vgl. § 110 Abs. 1 der Zürcher Zivilprozessordnung). Art. 8 ZGB kommt daher in seinem eigentlichen Ausmass gar nicht zum Tragen (vgl. STRÄULI/MESSMER, Kommentar zur Zürcherischen Zivilprozessordnung, 2. A., N 10 zu § 110). Die Rüge des Beschwerdeführers, diese Bestimmung sei durch das Kassationsgericht - im Zusammenhang mit der Feststellung seiner Einkünfte - willkürlich gehandhabt worden, stösst demnach von vornherein ins Leere. 20. a) Der Beschwerdeführer macht schliesslich geltend, der angefochtene Entscheid verletze Art. 4 BV auch insofern, als er in krasser Weise gegen Art. 163 Abs. 1 ZGB verstosse. Der vom Kassationsgericht geschützte Obergerichtsentscheid verkenne die sich für die Beschwerdegegnerin aus dieser Bestimmung ergebenden Verpflichtungen vollumfänglich. Die Bedürfnisse der Parteien BGE 118 II 376 S. 378 hätten sich nicht nach dem bisherigen Lebenswandel (auf Pump), sondern nach den verschlechterten wirtschaftlichen Verhältnissen zu richten. Die Beschwerdegegnerin erhalte durch die zugesprochenen Unterhaltsbeiträge weit mehr als den gebührenden Unterhalt, was ihr in unhaltbarer Weise die Bildung neuen Vermögens erlaube. b) Ob sich die wirtschaftlichen Verhältnisse des Beschwerdeführers tatsächlich erheblich verschlechtert haben, durfte ohne Verletzung von Art. 4 BV offengelassen werden. Wie an verschiedenen Stellen dargelegt worden ist, hat der Beschwerdeführer selbst zu vertreten, dass seine Einkünfte nicht hinreichend geklärt werden konnten und deshalb von seinem Lebensaufwand während der letzten Jahre bzw. während der Dauer der Ehe ausgegangen werden musste. Auch liegt keine klare, einem Verstoss gegen Art. 4 BV gleichzusetzende Verletzung von Art. 163 Abs. 1 ZGB vor. Die Lebenshaltung bis zur Aufhebung des gemeinsamen Haushaltes bildet auch nach neuem Eherecht die obere Schranke für den Unterhaltsanspruch eines Ehegatten (SPÜHLER/FREI-MAURER, N 166 zu Art. 145 ZGB ; zum grundsätzlichen Anspruch auf Weiterführung der Lebenshaltung auch BGE 115 II 424 ff. und 111 II 106 unten mit Hinweisen). Die der Beschwerdegegnerin zugesprochenen Leistungen erscheinen zwar als hoch bzw. liegen an der obern Grenze, verstossen aber nicht gegen die einschlägigen Richtlinien.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