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342</w:t>
      </w:r>
    </w:p>
    <w:p>
      <w:r>
        <w:t>Bundesgericht (BGE), 1992-01-01, FR</w:t>
      </w:r>
    </w:p>
    <w:p>
      <w:r>
        <w:rPr>
          <w:b/>
        </w:rPr>
        <w:t xml:space="preserve">Quelle: </w:t>
      </w:r>
      <w:r>
        <w:t>https://mcp.opencaselaw.ch/entscheid/bge_BGE_118_II_342</w:t>
      </w:r>
    </w:p>
    <w:p>
      <w:r>
        <w:t>FR: ATF 118 II 342</w:t>
      </w:r>
    </w:p>
    <w:p>
      <w:r>
        <w:t>IT: DTF 118 II 342</w:t>
      </w:r>
    </w:p>
    <w:p>
      <w:pPr>
        <w:pStyle w:val="Heading2"/>
      </w:pPr>
      <w:r>
        <w:t>Regeste</w:t>
      </w:r>
    </w:p>
    <w:p>
      <w:r>
        <w:t>Regeste Art. 33 VVG; Versicherungsvertrag über Betriebshaftpflicht; Ausschluss der Versicherungsdeckung in bezug auf anvertraute Sachen. 1. Kriterien zur Auslegung einer Ausschlussklausel (E. 1a). Fall der Obhutsklausel in der Betriebshaftpflichtversicherung (E. 1b). 2. Weigerung des Versicherers, gestützt auf eine solche Klausel den Schaden zu decken, der durch den Verlust eines Schlüsselbunds entstanden ist, welcher einem mit der Wartung und der Reinigung eines Einkaufszentrums beauftragten Unternehmen anvertraut worden ist; Weigerung als berechtigt anerkannt (E. 2a). 3. Begriff der Bearbeitungsklausel (E. 2b).</w:t>
      </w:r>
    </w:p>
    <w:p>
      <w:r>
        <w:t>Regeste Art. 33 LCA; contrat d'assurance responsabilité civile d'entreprise; exclusion de la couverture d'assurance s'agissant de choses confiées. 1. Critères pour l'interprétation d'une clause contractuelle qui limite la couverture du risque assuré (consid. 1a). Cas de la clause de la chose confiée dans l'assurance responsabilité civile d'entreprise (consid. 1b). 2. Refus de l'assureur, sur la base d'une telle clause, de couvrir le dommage résultant de la perte d'un trousseau de clés confié à une entreprise chargée de l'entretien et du nettoyage d'un centre commercial; refus reconnu justifié (consid. 2a). 3. Notion de la clause dite "d'activité" ("Bearbeitungsklausel") (consid. 2b).</w:t>
      </w:r>
    </w:p>
    <w:p>
      <w:r>
        <w:t>Regesto Art. 33 LCA; contratto di assicurazione contro la responsabilità civile d'impresa; esclusione della copertura assicurativa per cose affidate. 1. Criteri per l'interpretazione di una clausola contrattuale che limita la copertura del rischio assicurato (consid. 1a). Caso previsto dalla clausola della cosa affidata nell'assicurazione contro la responsabilità civile d'impresa (consid. 1b). 2. Rifiuto dell'assicuratore, sulla base di tale clausola, di coprire il danno risultante dalla perdita di un mazzo di chiavi affidato a un'impresa incaricata della manutenzione e della pulizia di un centro commerciale; rifiuto reputato giustificato (consid. 2a). 3. Nozione della cosiddetta clausola "d'attività" ("Bearbeitungsklausel") (consid. 2b).</w:t>
      </w:r>
    </w:p>
    <w:p>
      <w:pPr>
        <w:pStyle w:val="Heading2"/>
      </w:pPr>
      <w:r>
        <w:t>Erwägungen</w:t>
      </w:r>
    </w:p>
    <w:p>
      <w:r>
        <w:rPr>
          <w:b/>
        </w:rPr>
        <w:t>E. 1</w:t>
      </w:r>
    </w:p>
    <w:p>
      <w:r>
        <w:t>a) Selon l' art. 33 LCA ,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 contrat d'assurance, autant que la loi spéciale ne contient pas de dispositions particulières: l' art. 100 LCA renvoie au droit des obligations et, partant, au code civil. C'est ainsi que prévaut contre l'assureur la règle in dubio contra stipulatorem, autant toutefois qu'il a rédigé seul des clauses ambiguës - ainsi dans les conditions générales préformulées (Unklarheitsregel) -, mais sans qu'aient été épuisées les possibilités de l'interprétation ordinaire, du moins selon la jurisprudence suisse (HANS ROELLI/MAX KELLER, Kommentar zum schweizerischen Bundesgesetz über den Versicherungsvertrag vom 2. April 1908, vol. I, p. 457/458 et les références). Cette règle vaut spécialement pour l'exclusion de certains événements de la couverture. Encore faut-il qu'on puisse, en toute bonne foi, la comprendre de différentes façons. Pour interpréter un contrat d'assurance, on recherchera donc d'abord, comme pour tout autre contrat, la réelle et commune intention des parties. Si elle ne peut être établie, il faut se fonder sur leur volonté probable, selon le principe dit de la confiance ou de la bonne foi, et considérer toutes les circonstances qui ont entouré la conclusion BGE 118 II 342 S. 345 du contrat. On s'en tiendra à l'usage général et quotidien de la langue, sous réserve des acceptions techniques propres au risque envisagé ( ATF 116 II 347 consid. 2b, ATF 112 II 253 consid. c et les références). Mais il ne s'agit pas de s'en tenir d'emblée à la solution la plus favorable à l'assuré (ALFRED MAURER, Schweizerisches Privatversicherungsrecht, 2e éd. 1986, p. 146/147). Il est vrai, néanmoins, qu'une clause d'exclusion doit être interprétée "restrictivement" (RBA XIV No 38). Mais l' art. 33 LCA n'exige pas une énumération de tous les événements exclus; il suffit d'en décrire une catégorie de manière assez précise et non équivoque pour qu'il ne subsiste aucun doute, compte tenu du contexte, sur l'étendue du risque assuré (RBA VII No 121, XIII Nos 36 et 47, XVI No 26). b) La police d'assurance litigieuse couvre le risque découlant de la responsabilité de la recourante envers les tiers, à la suite d'événements survenus dans le cadre de ses activités professionnelles. C'est le risque d'une perte patrimoniale que pourrait subir l'assuré parce qu'une prétention en dommages-intérêts est formée contre lui en raison d'une activité prévue dans la police (ROLAND BREHM, Le contrat d'assurance de responsabilité civile, Lausanne 1983, p. 75 No 179). Dans l'assurance RC générale d'entreprise, les dommages causés par l'assuré aux objets confiés, généralement travaillés, sont exclus de la couverture par une clause usuelle et ancienne, qui concerne les "choses prises ou reçues par un assuré pour être utilisées, travaillées, gardées, transportées ou qui lui ont été louées ou affermées". C'est l'objet matériel de l'activité qui est visé par cette "Obhutsklausel" (BREHM, op.cit., p. 77/78, Nos 258 et 263; RBA XIII No 57 et les références, XIV No 38, XV No 39). La chose doit avoir été prise ou reçue par l'assuré; le second terme n'implique pas un transfert, mais la mise à disposition. La remise peut tendre notamment à l'utilisation de la chose ou en impliquer la garde; le dommage peut être la conséquence d'une omission, d'une négligence (ibidem, p. 78-80, Nos 264, 266, 270 et 272). La clause d'exclusion implique une relation suffisamment étroite entre la chose et l'assuré pour que le premier doive veiller sur la seconde (ROELLI/KELLER, op.cit., p. 486). Il faut éviter à la fois la négligence de l'assuré et le risque de collusion par report sur l'assurance d'une responsabilité d'entrepreneur (URS BÜTTIKER, Die Risikobegrenzung in der Haftpflichtversicherung, thèse Berne 1963, p. 64).</w:t>
      </w:r>
    </w:p>
    <w:p>
      <w:r>
        <w:rPr>
          <w:b/>
        </w:rPr>
        <w:t>E. 2</w:t>
      </w:r>
    </w:p>
    <w:p>
      <w:r>
        <w:t>Le cas de la clause de la chose confiée qui se réalise en l'espèce est défini clairement à l' art. 7 let . k al. 1 CGA. La recourante BGE 118 II 342 S. 346 avait reçu le trousseau de clés - à la fois la clé d'entrée et le passe-partout - pour le garder et l'utiliser, en vue d'exécuter le contrat d'entretien et de nettoyage du centre commercial. Les frais de remplacement des clés perdues ne sont donc pas couverts par l'assurance. Il s'ensuit que les autres coûts éventuels - à savoir de la surveillance temporaire, de mesures provisoires, d'études et de changement de serrures - sont eux aussi exclus de la couverture, car cette responsabilité civile concernerait des dommages économiques ne résultant pas d'un dégât matériel "assuré" ( art. 7 let . n CGA). a) La recourante objecte d'abord que l'interprétation de la police et de ses conditions générales dans leur ensemble révèle une contradiction - ou du moins une ambiguïté - entre l'art. 1er let. a ch. 2 et l' art. 7 let . k al. 1 CGA. Le premier établirait un principe vidé de tout contenu par le second, qui devrait dès lors rester sans effet, car il ne saurait y avoir perte d'une chose qui n'a pas été confiée. Que l'exclusion soit usuelle et ancienne n'y changerait rien. La clause exclurait donc d'avance un grand nombre des événements qui présentent le caractère du risque contre les conséquences duquel l'assurance est conclue. Comme le remarque à juste titre le Tribunal de première instance, la couverture d'assurance subsiste de toute façon pour les dégâts matériels causés par destruction ou détérioration de choses, ainsi que pour les cas de lésions corporelles, ce qui explique d'ailleurs le montant élevé de la somme assurée, l'abaissement de la franchise visant les dégâts matériels. Au demeurant, la recourante s'occupe aussi d'espaces verts, où un problème de clés ne se pose pas. De plus, nettoyage et entretien peuvent souvent être entrepris de jour, dans des locaux alors librement accessibles. Et même en cas de perte, souligne avec raison l'intimée, la chose perdue peut appartenir à un tiers, qui ne l'a pas confiée à l'assuré; en outre, l'entretien ou le nettoyage d'un local n'implique pas que tout ce qui s'y trouve ait été "confié" à l'entreprise qui exécute ses obligations contractuelles. En réalité, la recourante confond le genre de dommages assurés (art. 1er let. a CGA) et leur origine ou les circonstances dans lesquelles ils sont causés. b) La recourante insiste ensuite sur la spécificité de ses activités professionnelles. Si elle le fait, c'est manifestement pour fonder son interprétation de l' art. 7 let . k al. 1 CGA. On a vu que c'est en vain. Mais elle eût pu songer à la clause dite "d'activité" ("Bearbeitungsklausel") de l'alinéa 2 de la même disposition, clause prévue par la BGE 118 II 342 S. 347 plupart des compagnies dans les conditions générales de l'assurance RC des entreprises (ROELLI/KELLER, op.cit. p. 484 ss; BREHM, op.cit., p. 77 ss, Nos 259 ss et les références). Sont ainsi exclues de l'assurance les prétentions pour des "dommages résultant de l'exécution ou de l'inexécution d'une activité d'un assuré sur ou avec des choses (p.ex. travail, réparation, chargement ou déchargement d'un véhicule)". Comme l'explique l'intimée, on veut ainsi exclure le travail mal fait ou bâclé, les malfaçons et les manipulations sans précautions suffisantes, c'est-à-dire une mauvaise exécution due à l'absence de conscience professionnelle (BÜTTIKER, op.cit., p. 64 ss). Ce n'est évidemment pas de cela qu'il s'agit en l'espèce. Aussi bien, la recourante ne cite même pas la clause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