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241</w:t>
      </w:r>
    </w:p>
    <w:p>
      <w:r>
        <w:t>Bundesgericht (BGE), 1992-01-01, DE</w:t>
      </w:r>
    </w:p>
    <w:p>
      <w:r>
        <w:rPr>
          <w:b/>
        </w:rPr>
        <w:t xml:space="preserve">Quelle: </w:t>
      </w:r>
      <w:r>
        <w:t>https://mcp.opencaselaw.ch/entscheid/bge_BGE_118_II_241</w:t>
      </w:r>
    </w:p>
    <w:p>
      <w:r>
        <w:t>FR: ATF 118 II 241</w:t>
      </w:r>
    </w:p>
    <w:p>
      <w:r>
        <w:t>IT: DTF 118 II 241</w:t>
      </w:r>
    </w:p>
    <w:p>
      <w:pPr>
        <w:pStyle w:val="Heading2"/>
      </w:pPr>
      <w:r>
        <w:t>Regeste</w:t>
      </w:r>
    </w:p>
    <w:p>
      <w:r>
        <w:t>Regeste Besuchsrecht (Art. 274 Abs. 2 ZGB) und Beistandschaft (Art. 308 Abs. 2 ZGB). 1. Das Besuchsrecht ist auch einzuräumen, wenn die Ausübung mit Konflikten verbunden ist. Dessen Verweigerung setzt eine klare Zweckwidrigkeit voraus. 2. Der Beistand nach Art. 308 Abs. 2 ZGB hat nach Massgabe der ihm vom Richter erteilten Weisung den persönlichen Verkehr zwischen Kind und Besuchsberechtigtem zu überwachen. Er ist jedoch nicht ermächtigt, die Besuchsordnung anstelle des Richters zu ändern.</w:t>
      </w:r>
    </w:p>
    <w:p>
      <w:r>
        <w:t>Regeste Droit de visite (art. 274 al. 2 CC) et curatelle (art. 308 al. 2 CC). 1. Le droit de visite doit être accordé même si son exercice est lié à des conflits. Il ne peut être refusé que s'il est clairement détourné de son but. 2. Le curateur, au sens de l'art. 308 al. 2 CC, doit surveiller les relations personnelles entre l'enfant et le titulaire du droit de visite conformément aux instructions du juge. Il n'est pas en son pouvoir de modifier la réglementation du droit de visite à la place de ce dernier.</w:t>
      </w:r>
    </w:p>
    <w:p>
      <w:r>
        <w:t>Regesto Diritto di visita (art. 274 cpv. 2 CC) e curatela (art. 308 cpv. 2 CC). 1. Il diritto di visita dev'essere concesso anche quando il suo esercizio è legato a dei conflitti. Un rifiuto presuppone che esso sia chiaramente in contrasto con il suo scopo. 2. Il curatore ai sensi dell'art. 308 cpv. 2 CC deve sorvegliare le relazioni personali fra il figlio e il titolare del diritto di visita conformemente alle istruzioni ricevute dal giudice. Egli non è tuttavia autorizzato a modificare, al posto del giudice, la regolamentazione del diritto di visita.</w:t>
      </w:r>
    </w:p>
    <w:p>
      <w:pPr>
        <w:pStyle w:val="Heading2"/>
      </w:pPr>
      <w:r>
        <w:t>Erwägungen</w:t>
      </w:r>
    </w:p>
    <w:p>
      <w:r>
        <w:rPr>
          <w:b/>
        </w:rPr>
        <w:t>E. 2</w:t>
      </w:r>
    </w:p>
    <w:p>
      <w:r>
        <w:t>c) Die Ausübung des Besuchsrechts ist bekanntlich oft mit Spannungen und Konflikten verbunden. Grundsätzlich ist das Besuchsrecht gleichwohl im üblichen Umfang einzuräumen. Eine Verweigerung des Besuchsrechts setzte nämlich eine klare und eindeutige Zweckwidrigkeit voraus, die durch eine besondere Regelung des Besuchsrechts nicht behoben werden kann (BÜHLER/SPÜHLER, Ergänzungsband, ZGB 156 N 302). Der persönliche Verkehr mit den Eltern liegt aber auch im Interesse des Kindes selber (HEGNAUER, ZGB 273 N 18 ff.). Im vorliegenden Fall steht keineswegs fest, dass der Berufungsbeklagte seine Tochter sexuell missbraucht hat oder die Ausübung des Besuchs- und Ferienrechts im gerichtlich festgelegten Umfang ihr Wohl gefährden würde. Bei der Festlegung des Ferienrechts hat das Jugendamt der Stadt Biel zudem in seinem Bericht vom 20. Februar 1991 sogar eine Dauer von drei Wochen empfohlen. Durch die Errichtung einer Beistandschaft nach Art. 308 Abs. 2 ZGB soll überdies der persönliche Verkehr von Vater und Kind trotz der zwischen den Eltern herrschenden Spannungen ermöglicht und überwacht werden. Diese Massnahme ist umsomehr angezeigt, als die Ausübung des Besuchsrechts schon während des Scheidungsprozesses mit Schwierigkeiten verbunden und von der ablehnenden Haltung des Kindes begleitet war (BÜHLER/SPÜHLER, Ergänzungsband, ZGB 156 N 178/179; HEGNAUER, ZGB 275 N 118). Der Appellationshof hat somit bei der Festlegung des Besuchsrechts kein Bundesrecht verletzt. d) Ordnet der Richter im Scheidungsverfahren einen Beistand an, so hat er dessen Aufgaben genau zu umschreiben. Der Beistand kann mit der Überwachung des persönlichen Verkehrs und der Regelung von Über- und Rückgabe des Kindes im einzelnen betraut werden. Hingegen kann ihm nicht die Aufgabe überbunden werden, anstelle des Richters die Besuchsordnung zu ändern (BÜHLER/SPÜHLER, Ergänzungsband, ZGB 156 N 321; HEGNAUER, ZGB 275 N 120; HEGNAUER, Grundriss des Kindesrechts, 3. Auflage Bern, 1989, Ziff. BGE 118 II 241 S. 243 19.28). Die Berufungsklägerin rügt die vom Appellationshof getroffene Regelung, wonach der Beistand das Besuchsrecht vorübergehend im Interesse des Kindes einschränken kann, somit zu Recht als bundesrechtswidrig. In diesem Punkt dringt sie mit ihrer Berufung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