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206</w:t>
      </w:r>
    </w:p>
    <w:p>
      <w:r>
        <w:t>Bundesgericht (BGE), 1992-01-01, IT</w:t>
      </w:r>
    </w:p>
    <w:p>
      <w:r>
        <w:rPr>
          <w:b/>
        </w:rPr>
        <w:t xml:space="preserve">Quelle: </w:t>
      </w:r>
      <w:r>
        <w:t>https://mcp.opencaselaw.ch/entscheid/bge_BGE_118_II_206</w:t>
      </w:r>
    </w:p>
    <w:p>
      <w:r>
        <w:t>FR: ATF 118 II 206</w:t>
      </w:r>
    </w:p>
    <w:p>
      <w:r>
        <w:t>IT: DTF 118 II 206</w:t>
      </w:r>
    </w:p>
    <w:p>
      <w:pPr>
        <w:pStyle w:val="Heading2"/>
      </w:pPr>
      <w:r>
        <w:t>Regeste</w:t>
      </w:r>
    </w:p>
    <w:p>
      <w:r>
        <w:t>Regeste Direktprozess zwischen einem Kanton und Privaten (Art. 42 OG). 1. Zusammenfassung der Rechtsprechung zu den Eintretensvoraussetzungen und zum Begriff der zivilrechtlichen Streitigkeit im Sinn von Art. 42 OG (E. 2a-c). 2. Die Klage auf Herausgabe eines hinterlegten und anschliessend im Rahmen eines Strafverfahrens beschlagnahmten Geldbetrages fällt nicht unter den Begriff der Zivilrechtsstreitigkeit gemäss Art. 42 OG (Präzisierung der Rechtsprechung; E. 3a-b). Es besteht kein Anlass, den Begriff der Zivilsache auf derartige Fälle auszudehnen (E. 3c). 3. Die Klage auf Herausgabe kann mangels entsprechender Vorschriften auch nicht aus der Haftung des Gemeinwesens abgeleitet werden (E. 4).</w:t>
      </w:r>
    </w:p>
    <w:p>
      <w:r>
        <w:t>Regeste Procès direct entre cantons et particuliers (art. 42 OJ). 1. Résumé de la jurisprudence relative aux conditions de recevabilité et à la notion de contestation de droit civil au sens de l'art. 42 OJ (consid. 2a-c). 2. L'action en restitution d'une somme d'argent déposée puis séquestrée dans le cadre d'une procédure pénale n'entre pas dans la notion de contestation civile au sens de l'art. 42 OJ (précision de la jurisprudence; consid. 3a-b). Il n'existe pas de motif d'étendre la notion de contestation civile à de tels cas (consid. 3c). 3. En l'absence de normes spécifiques, l'action en restitution ne peut se fonder sur la responsabilité des collectivités publiques (consid. 4).</w:t>
      </w:r>
    </w:p>
    <w:p>
      <w:r>
        <w:t>Regesto Processi diretti fra Cantoni e privati (art. 42 OG). 1. Riepilogo della giurisprudenza sulle condizioni di ricevibilità e sulla nozione della causa di diritto civile ai sensi dell'art. 42 OG (consid. 2a-c). 2. L'azione con la quale è chiesta la restituzione di una somma di denaro depositata e poi sequestrata nell'ambito di un procedimento penale non rientra nella nozione di causa civile dell'art. 42 OG (precisazione della giurisprudenza; consid. 3a-b). Negata la sussistenza di motivi atti ad estendere la nozione di causa civile a casi di questa indole (consid. 3c). 3. Azione di restituzione non può neppure essere fondata, vista l'assenza di norme specifiche, sulla responsabilità dell'ente pubblico (consid. 4).</w:t>
      </w:r>
    </w:p>
    <w:p>
      <w:pPr>
        <w:pStyle w:val="Heading2"/>
      </w:pPr>
      <w:r>
        <w:t>Erwägungen</w:t>
      </w:r>
    </w:p>
    <w:p>
      <w:r>
        <w:rPr>
          <w:b/>
        </w:rPr>
        <w:t>E. 4</w:t>
      </w:r>
    </w:p>
    <w:p>
      <w:r>
        <w:t>L'azione non può neppure essere fondata sulla responsabilità dell'ente pubblico. Al proposito l'attrice adduce che le autorità inquirenti ticinesi avrebbero ordinato il sequestro in modo illegale. Tuttavia, negli anni 1988 e 1989, periodo nel quale si sono svolti i fatti in discussione, nel Cantone Ticino non era ancora entrata in vigore la legge sulla responsabilità dell'ente pubblico (LResp). Questa porta infatti la data del 24 ottobre ed è entrata in vigore il 1o gennaio 1990 ed inoltre essa si applica solo all'atto illecito, causa del danno verificatosi dopo la sua entrata in vigore ( art. 32 LResp ). Prima del 1o gennaio 1990, nel Cantone Ticino, tranne alcune norme che regolavano la responsabilità personale di alcuni funzionari, non era prevista una responsabilità dell'ente pubblico per gli atti compiuti dai suoi agenti ( DTF 108 II 335 seg. consid. 3; cfr. inoltre BIANCHI, Ente pubblico e responsabilità per illecito, in: RDAT 1979, pag. 265 segg.). Nella petizione l'attrice solleva anche la questione di sapere se in concreto non vi sia un contratto di diritto amministrativo. A questo quesito dà poi essa stessa - a ragione - risposta negativa. Il sequestro della somma depositata costituisce infatti un atto d'imperio statale, anche nell'ipotesi in cui l'attrice e suo marito hanno proceduto al deposito più o meno spontaneamente.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