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II 176</w:t>
      </w:r>
    </w:p>
    <w:p>
      <w:r>
        <w:t>Bundesgericht (BGE), 1992-01-01, DE</w:t>
      </w:r>
    </w:p>
    <w:p>
      <w:r>
        <w:rPr>
          <w:b/>
        </w:rPr>
        <w:t xml:space="preserve">Quelle: </w:t>
      </w:r>
      <w:r>
        <w:t>https://mcp.opencaselaw.ch/entscheid/bge_BGE_118_II_176</w:t>
      </w:r>
    </w:p>
    <w:p>
      <w:r>
        <w:t>FR: ATF 118 II 176</w:t>
      </w:r>
    </w:p>
    <w:p>
      <w:r>
        <w:t>IT: DTF 118 II 176</w:t>
      </w:r>
    </w:p>
    <w:p>
      <w:pPr>
        <w:pStyle w:val="Heading2"/>
      </w:pPr>
      <w:r>
        <w:t>Regeste</w:t>
      </w:r>
    </w:p>
    <w:p>
      <w:r>
        <w:t>Regeste Haftpflicht-Versicherungsvertrag. Begriff des Sachschadens. Die Beschränkung des Versicherungsschutzes auf die Haftung für Sachschäden in einer Haftpflichtversicherung bedeutet nicht, dass der Versicherer nur bis zum Ersatzwert der beschädigten oder zerstörten Sache einzustehen habe. Versichert ist vielmehr der ganze Vermögensschaden, der dem Versicherten aus seiner Haftung für den Sachschaden eines Dritten entstanden ist. Ein Sachschaden liegt auch vor, wenn Klärschlamm so verunreinigt worden ist, dass seine landwirtschaftliche Verwendung nicht mehr möglich ist und er aufwendig vernichtet werden muss.</w:t>
      </w:r>
    </w:p>
    <w:p>
      <w:r>
        <w:t>Regeste Contrat d'assurance-responsabilité civile. Notion du dommage matériel. La limitation de la couverture d'assurance à la responsabilité pour dommages matériels dans une assurance-responsabilité civile ne signifie pas que l'assureur ne doit répondre que jusqu'à concurrence de la valeur de remplacement de la chose endommagée ou détruite. Au contraire, est assuré tout le dommage pécuniaire qui résulte de la responsabilité de l'assuré pour le dommage matériel causé à un tiers. Il y a également dommage matériel, lorsque de la boue dépurante a été polluée, de sorte qu'elle n'est plus utilisable dans l'agriculture et qu'elle doit être détruite à grands frais.</w:t>
      </w:r>
    </w:p>
    <w:p>
      <w:r>
        <w:t>Regesto Contratto d'assicurazione contro la responsabilità civile. Nozione di danno materiale. La limitazione della copertura assicurativa alla responsabilità per danni materiali in un'assicurazione contro la responsabilità civile, non significa che l'assicuratore debba rispondere solo fino al valore di sostituzione della cosa danneggiata o distrutta. Assicurato è invece l'intero danno patrimoniale, che è sorto all'assicurato dalla sua responsabilità per il danno materiale derivato a un terzo. Vi è pure un danno materiale quando del fango proveniente da un'impianto di depurazione sia stato così inquinato da non poter più essere utilizzato nell'agricoltura, ma dev'essere distrutto in modo dispendioso.</w:t>
      </w:r>
    </w:p>
    <w:p>
      <w:pPr>
        <w:pStyle w:val="Heading2"/>
      </w:pPr>
      <w:r>
        <w:t>Erwägungen</w:t>
      </w:r>
    </w:p>
    <w:p>
      <w:r>
        <w:rPr>
          <w:b/>
        </w:rPr>
        <w:t>E. 4</w:t>
      </w:r>
    </w:p>
    <w:p>
      <w:r>
        <w:t>Das Handelsgericht hat eine Haftung der Beklagten für die Kosten abgelehnt, die infolge der Beseitigung des verunreinigten Klärschlamms entstanden sind, weil es sich dabei nicht um einen unmittelbaren Sachschaden gehandelt habe. Als solcher könne nämlich nur der Wiederbeschaffungswert einer beschädigten oder zerstörten Sache angesehen werden. Bei den hier streitigen Beseitigungskosten handle es sich hingegen um mittelbaren Schaden, der vom Sachschadensbegriff nicht mehr erfasst werde. a) Der vorliegende Rechtsstreit bezieht sich auf einen Versicherungsvertrag betreffend die Betriebshaftpflicht der Klägerin. Die Haftpflichtversicherung stellt den wichtigsten Anwendungsfall der Vermögensversicherung dar. Sie gehört somit weder zur Personen- noch zur Sachversicherung (KOENIG, Der Versicherungsvertrag, SPR, Bd. VII/2, Basel 1979, S. 608 ff.), wohl aber nach der Einteilung des Versicherungsvertragsgesetzes zur Schadensversicherung als Gegensatz zur Personenversicherung. Der Versicherer hat einen Schaden zu ersetzen, der beim Versicherten als reiner Vermögensschaden (Vermehrung der Passiven) eingetreten ist. Vorliegend macht die Beklagte allerdings geltend, sie hafte nur für den Vermögensschaden BGE 118 II 176 S. 179 des Versicherten, der aufgrund von Personen- oder Sachschäden bei Dritten entstanden sei. Demgegenüber bestehe aufgrund des Versicherungsvertrages keine Leistungspflicht, wenn der Versicherte wegen eines reinen Vermögensschadens des Dritten belangt worden sei. Die Klägerin hält hingegen den Versicherungsschutz auch für reine Vermögensschäden als gegeben, wenn diese durch Abwässer verursacht worden sind. Wie es sich damit verhält, muss nur geprüft werden, falls sich erweisen sollte, dass die Klägerin tatsächlich aus reinem Vermögensschaden belangt worden ist. b) Sachschaden entsteht infolge Zerstörung, Beschädigung oder Verlusts einer Sache (OFTINGER, Schweizerisches Haftpflichtrecht, Bd. I, Zürich 1975, S. 61; DESCHENAUX/TERCIER, La responsabilité civile, Bern 1982, S. 48, Rz. 20; BREHM, Berner Kommentar, N 77 zu Art. 41 OR ; vgl. auch BGE 116 II 490 f. E. 4). Dabei stellen die Zerstörung, die Beschädigung und der Verlust nicht selber den Schaden dar, sondern sind die Ursache eines solchen (OFTINGER, S. 61 Anm. 40). Der Schaden ist die daraus resultierende Vermögenseinbusse. Reiner Vermögensschaden liegt demgegenüber vor, wenn eine Vermögenseinbusse eintritt, ohne dass eine Person verletzt oder getötet oder eine Sache beschädigt oder zerstört worden, beziehungsweise verlorengegangen ist (OFTINGER, S. 61). Davon geht an sich auch das Handelsgericht im angefochtenen Urteil aus. Es nimmt dann aber an, im Bereich der Sachversicherung sei die Leistungspflicht des Versicherers auf den Ersatzwert beschränkt. Dabei verkennt es, dass dem vorliegenden Rechtsstreit nicht eine Sachversicherung, sondern eine Haftpflichtversicherung zugrunde liegt. Wie Art. 49 VVG zeigt, hat der Begriff des Ersatzwertes seinen Sinn wohl bei der Sach-, nicht aber bei der Haftpflichtversicherung als Unterart der Vermögensversicherung. Bei der Sachversicherung wird mit dem Ersatzwert als Versicherungswert eine Überversicherung vermieden. Im Bereich der Haftpflichtversicherung kann aber eine Begrenzung der versicherten Haftpflicht auf Sachschäden den Anspruch des Versicherten nicht auf den blossen Ersatzwert der beschädigten Sache beschränken. Von der Versicherung wird vielmehr die ganze sich aus dem Sachschaden ergebende Haftpflicht abgedeckt. Ausgeschlossen wird lediglich die Haftpflicht, die gar nicht mit einem Sachschaden zusammenhängt, wie beispielsweise die Haftung für Kreditschädigung oder aus unlauterem Wettbewerb. Entsprechend muss vorliegend ohne Bedeutung bleiben, wie der Ersatzwert im Bereich der Feuerversicherung umschrieben wird. Etwas anderes lässt sich auch nicht BGE 118 II 176 S. 180 dem vom Handelsgericht zitierten Werk von MAURER entnehmen. An der angegebenen Stelle führt dieser Autor nur aus, die in Art. 63 VVG für die Feuerversicherung enthaltene Umschreibung des Ersatzwertes lasse sich auch auf andere Sachversicherungen übertragen (MAURER, Schweizerisches Privatversicherungsrecht, 2. Aufl., Bern 1986, S. 480). Um eine solche handelt es sich vorliegend aber nicht. Aus der Beschränkung auf Sachschäden im Versicherungsvertrag kann nicht abgeleitet werden, es werde, wenn ein Sachschaden vorliege, die Haftpflicht nur gedeckt, soweit der Versicherte für den Ersatzwert belangt worden sei. c) Die Verschmutzung des Klärschlamms stellt die Beschädigung einer Sache dar. Der Schlamm wurde in seiner Zusammensetzung so verändert, dass er nicht mehr in der Weise verwendet werden konnte, wie dies ohne eine solche Einwirkung möglich gewesen wäre. Er war infolge dieser Veränderung nicht mehr landwirtschaftlich zu gebrauchen, sondern musste aufwendig verbrannt werden. Die Kosten für die Beseitigung stellen damit eine kausale Folge der Sachbeschädigung dar. Zudem kann auch an der Adäquanz nicht gezweifelt werden. Ohne Bedeutung muss schliesslich bleiben, ob es sich um mittelbaren oder unmittelbaren Schaden handelt. Dem Versicherungsvertrag ist nichts zu entnehmen, das den Schluss zuliesse, es sei nur die Haftung für unmittelbaren Schaden gedeckt. Grundsätzlich wird im schweizerischen Haftpflichtrecht aber nicht nur für den unmittelbaren, sondern auch für den mittelbaren Schaden gehaftet, sofern dieser noch als adäquat kausale Folge des schädigenden Ereignisses erscheint (VON TUHR/PETER, OR AT, Zürich 1974, S. 88; OFTINGER, S. 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