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543 vom 1. Januar 1992</w:t>
      </w:r>
    </w:p>
    <w:p>
      <w:r>
        <w:t>Bundesgericht (BGE), 1992-01-01, DE</w:t>
      </w:r>
    </w:p>
    <w:p>
      <w:r>
        <w:rPr>
          <w:b/>
        </w:rPr>
        <w:t xml:space="preserve">Quelle: </w:t>
      </w:r>
      <w:r>
        <w:t>https://mcp.opencaselaw.ch/entscheid/bge_BGE_118_IB_543</w:t>
      </w:r>
    </w:p>
    <w:p>
      <w:r>
        <w:t>FR: BGE BGE 118 IB 543 du 1 janvier 1992</w:t>
      </w:r>
    </w:p>
    <w:p>
      <w:r>
        <w:t>IT: BGE BGE 118 IB 543 del 1 gennaio 1992</w:t>
      </w:r>
    </w:p>
    <w:p>
      <w:pPr>
        <w:pStyle w:val="Heading2"/>
      </w:pPr>
      <w:r>
        <w:t>Regeste</w:t>
      </w:r>
    </w:p>
    <w:p>
      <w:r>
        <w:t>Regeste Rechtshilfe an die USA, Art. 4 Ziff. 2 RVUS (SR 0.351.933.6); beidseitige Strafbarkeit; Art. 161 StGB. Dass Wertpapiere nicht an Schweizer Börsen kotiert waren, schliesst die Annahme beidseitiger Strafbarkeit und damit die Gewährung der Rechtshilfe nicht aus (Präzisierung von BGE 116 Ib 94 f. E. 3c/bb).</w:t>
      </w:r>
    </w:p>
    <w:p>
      <w:r>
        <w:t>Regeste Entraide judiciaire aux Etats-Unis d'Amérique, art. 4 al. 2 TEJUS (RS 0.351.933.6); double incrimination; art. 161 CP. Le fait que les titres n'aient pas été cotés en bourse suisse n'exclut pas la double incrimination et n'empêche donc pas l'octroi de l'entraide (précision de l'ATF 116 Ib 94 s. consid. 3c/bb).</w:t>
      </w:r>
    </w:p>
    <w:p>
      <w:r>
        <w:t>Regesto Assistenza giudiziaria agli Stati Uniti d'America, art. 4 cpv. 2 TAGSU (RS 0.351.933.6); doppia incriminazione; art. 161 CP. Il fatto che i titoli non siano stati quotati alla borsa svizzera non esclude la doppia incriminazione e non impedisce dunque la concessione dell'assistenza giudiziaria (precisazione della DTF 116 Ib 94 e seg. consid. 3c/bb).</w:t>
      </w:r>
    </w:p>
    <w:p>
      <w:pPr>
        <w:pStyle w:val="Heading2"/>
      </w:pPr>
      <w:r>
        <w:t>Erwägungen</w:t>
      </w:r>
    </w:p>
    <w:p>
      <w:r>
        <w:rPr>
          <w:b/>
        </w:rPr>
        <w:t>E. 3</w:t>
      </w:r>
    </w:p>
    <w:p>
      <w:r>
        <w:t>Der Beschwerdeführer rügt, das BAP habe zu Unrecht angenommen, die Voraussetzungen der beidseitigen Strafbarkeit seien erfüllt. BGE 118 Ib 543 S. 545 b) Das hier in Frage stehende Rechtshilfeersuchen betrifft ein Ermittlungsverfahren der SEC wegen Verdachts eines Insidervergehens. Die amerikanische Behörde glaubt, dass C., ein Vorstandsmitglied der Firma F., vertrauliche Informationen betreffend die Möglichkeit einer Verbindung dieser Firma mit einem industriellen Partner verwendet habe, um den am 7. Juni 1990 über die Bank H. in Zürich erfolgten Kauf von 20'000 Aktien der F. anzuordnen oder zu veranlassen, welche Aktien später mit einem Gewinn von 455'880 US-$ verkauft worden seien. Das BAP nahm an, diese Handlung würde nach schweizerischem Recht den Tatbestand des Ausnützens der Kenntnis vertraulicher Tatsachen im Sinne von Art. 161 StGB erfüllen. aa) Der Beschwerdeführer wendet zunächst ein, dieser sog. Insidertatbestand werde durch C. nicht erfüllt, da die Aktien der F. nicht an einer Schweizer Börse kotiert gewesen seien. Nach Art. 161 Ziff. 1 StGB wird bestraft, wer als Mitglied des Verwaltungsrates, der Geschäftsleitung, der Revisionsstelle oder als Beauftragter einer Aktiengesellschaft oder einer sie beherrschenden oder von ihr abhängigen Gesellschaft, als Mitglied einer Behörde oder als Beamter oder als Hilfsperson einer der vorgenannten Personen "sich oder einem andern einen Vermögensvorteil verschafft, indem er die Kenntnis einer vertraulichen Tatsache, deren Bekanntwerden den Kurs von in der Schweiz börslich oder vorbörslich gehandelten Aktien, andern Wertschriften oder entsprechenden Bucheffekten der Gesellschaft oder von Optionen auf solche in voraussehbarer Weise erheblich beeinflussen wird, ausnützt oder diese Tatsache einem Dritten zur Kenntnis bringt". Das Bundesgericht hat sich in einem Urteil vom 9. März 1990 ( BGE 116 Ib 89 ff.) im Zusammenhang mit der Voraussetzung der beidseitigen Strafbarkeit nach Art. 5 des Europäischen Rechtshilfeübereinkommens (RS 0.351.1) zur Frage geäussert, ob die in Art. 161 StGB enthaltene Umschreibung betreffend "in der Schweiz börslich oder vorbörslich gehandelte" Effekten der Gewährung der Rechtshilfe entgegenstehe, falls die im Ersuchen angeführten Wertpapiere nur im Ausland kotiert seien. Es verneinte die Frage mit der Begründung, die Bezugnahme auf die Schweizer Börsen in Art. 161 StBG grenze lediglich den Anwendungsbereich der Norm in territorialer Hinsicht ab und falle deshalb im Rechtshilfeverfahren für die Beurteilung der Strafbarkeit nach schweizerischem Recht ausser Betracht ( BGE 116 Ib 94 f. E. 3c/bb). Der Beschwerdeführer wendet dagegen mit Recht ein, das Erfordernis der Kotierung der Wertpapiere an einer Schweizer Börse BGE 118 Ib 543 S. 546 sei nicht als objektive Strafbarkeitsbedingung, sondern als Teil des objektiven Tatbestands von Art. 161 StGB zu verstehen und daher bei der Prüfung der Strafbarkeit nach schweizerischem Recht zu berücksichtigen. Hingegen ist er zu Unrecht der Meinung, dieses Tatbestandsmerkmal sei im vorliegenden Fall nicht erfüllt, weil die im amerikanischen Ersuchen genannten Wertpapiere nicht in der Schweiz kotiert gewesen seien. Es ist zu beachten, dass allgemein bei der Beurteilung der Strafbarkeit nach dem Recht des ersuchten Staates der im Rechtshilfebegehren angeführte Sachverhalt sinngemäss umgestellt werden muss, d.h. die verfolgte Tat der Beurteilung so zugrunde zu legen ist, wie wenn sie sich auf dem Gebiet des ersuchten Staates abgespielt hätte (HANS SCHULTZ, Das schweizerische Auslieferungsrecht, Basel 1953, S. 327; WOLFGANG METTGENBERG, Deutsches Auslieferungsgesetz, Mannheim, Berlin, Leipzig 1930, S. 185). Wenn die im vorliegenden Rechtshilfeersuchen angeführten Wertpapiere an einer amerikanischen Börse gehandelt wurden, so muss demnach bei der Prüfung der beidseitigen Strafbarkeit der Sachverhalt sinngemäss umgestellt werden. Die behauptete Straftat wurde in den USA begangen und die Aktien der F. wurden an Börsen der USA gehandelt. Wird der Sachverhalt im erwähnten Sinn umgestellt, so ist von der Vorstellung auszugehen, die Handlung sei in der Schweiz ausgeführt worden und die Aktien seien an schweizerischen Börsen kotiert gewesen. Würde diese Umstellung nicht vorgenommen, so müsste in einem solchen Fall die Rechtshilfe wegen Fehlens der beidseitigen Strafbarkeit verweigert werden. Das liefe aber dem Sinn und Zweck der Vorschrift von Art. 161 StGB zuwider, die vor allem deshalb erlassen wurde, weil es im Rechtshilfeverkehr mit den USA bei Insiderfällen Schwierigkeiten gegeben hatte. Zusammenfassend ergibt sich, dass das in Art. 161 StGB genannte Erfordernis der Kotierung der Wertpapiere an einer Schweizer Börse ein Tatbestandsmerkmal ist und daher bei der Beurteilung der Strafbarkeit nach schweizerischem Recht zu berücksichtigen ist. Es steht aber der Gewährung der Rechtshilfe nicht entgegen, wenn die im Ersuchen angeführten Wertpapiere nur im Ausland kotiert waren, da bei der Prüfung der Strafbarkeit nach schweizerischem Recht in sinngemässer Umstellung des Sachverhalts anzunehmen ist, die betreffenden Papiere wären, wenn sich die Tat auf dem Gebiet der Schweiz abgespielt hätte, an einer Schweizer Börse gehandelt worden. In diesem Sinne sind die in BGE 116 Ib 94 f. E. 3c/bb gemachten Erwägungen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