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118 IB 530 vom 1. Januar 1992</w:t>
      </w:r>
    </w:p>
    <w:p>
      <w:r>
        <w:t>Bundesgericht (BGE), 1992-01-01, DE</w:t>
      </w:r>
    </w:p>
    <w:p>
      <w:r>
        <w:rPr>
          <w:b/>
        </w:rPr>
        <w:t xml:space="preserve">Quelle: </w:t>
      </w:r>
      <w:r>
        <w:t>https://mcp.opencaselaw.ch/entscheid/bge_BGE_118_IB_530</w:t>
      </w:r>
    </w:p>
    <w:p>
      <w:r>
        <w:t>FR: BGE BGE 118 IB 530 du 1 janvier 1992</w:t>
      </w:r>
    </w:p>
    <w:p>
      <w:r>
        <w:t>IT: BGE BGE 118 IB 530 del 1 gennaio 1992</w:t>
      </w:r>
    </w:p>
    <w:p>
      <w:pPr>
        <w:pStyle w:val="Heading2"/>
      </w:pPr>
      <w:r>
        <w:t>Regeste</w:t>
      </w:r>
    </w:p>
    <w:p>
      <w:r>
        <w:t>Regeste Nachtflugbewilligung für den gewerbsmässigen Nichtlinienverkehr auf Landesflughäfen. Verhältnis zwischen Art. 95 Luftfahrtverordnung (LFV) und Umweltschutzgesetz (insbesondere Art. 11 f. USG) sowie Lärmschutz-Verordnung (LSV). 1. Art. 95 LFV dient der Bekämpfung von Lärm durch Flugbewegungen zur Nachtzeit und lässt für eine direkte Anwendung des geltenden Umweltschutzrechts keinen Raum. Solange im Anhang zur Lärmschutz-Verordnung noch keine Belastungsgrenzwerte für Landesflughäfen festgesetzt sind, fehlt es an Umweltschutzrecht, das diesbezüglich allenfalls über die Bestimmung des Art. 95 LFV hinausginge (E. 4). 2. Interessenabwägung nach Art. 95 LFV (E. 5).</w:t>
      </w:r>
    </w:p>
    <w:p>
      <w:r>
        <w:t>Regeste Autorisation de vols de nuit sur des aéroports nationaux pour des vols commerciaux du trafic hors des lignes. Rapport entre l'art. 95 de l'ordonnance sur la navigation aérienne (ONA) et la loi fédérale sur la protection de l'environnement (en particulier art. 11 et s. LPE), ainsi que l'ordonnance sur la protection contre le bruit (OPB). 1. L'art. 95 ONA a pour but de combattre le bruit provoqué par les mouvements d'avions effectués de nuit et ne permet pas qu'on s'en écarte pour appliquer directement le droit découlant de la protection de l'environnement. Aussi longtemps que l'annexe de l'ordonnance sur la protection contre le bruit ne contient pas de valeurs limites d'exploitation pour les aéroports nationaux, il n'existe pas de disposition sur la protection de l'environnement qui, dans ce domaine, aille éventuellement plus loin que l'art. 95 ONA (consid. 4). 2. Pesée des intérêts en présence selon l'art. 95 ONA (consid. 5).</w:t>
      </w:r>
    </w:p>
    <w:p>
      <w:r>
        <w:t>Regesto Autorizzazioni per voli notturni sugli aeroporti nazionali per i voli commerciali di traffico fuori delle linee. Rapporto tra l'art. 95 dell'ordinanza sulla navigazione aerea (ONA) e la legge federale sulla protezione dell'ambiente (in particolare gli art. 11 seg. LPA) come anche l'ordinanza contro l'inquinamento fonico (OIF). 1. Scopo dell'art. 95 ONA è di lottare contro il rumore provocato dai movimenti effettuati di notte dagli aerei; questa norma non lascia spazio ad un'applicazione diretta della legislazione sulla protezione dell'ambiente. Fintanto che nell'allegato dell'ordinanza contro l'inquinamento fonico non figurano valori limite d'esposizione per gli aeroporti nazionali, non esiste nella legislazione sulla protezione dell'ambiente una disposizione che vada eventualmente oltre quanto previsto dall'art. 95 ONA (consid. 4). 2. Ponderazione degli opposti interessi in base all'art. 95 ONA (consid. 5).</w:t>
      </w:r>
    </w:p>
    <w:p>
      <w:pPr>
        <w:pStyle w:val="Heading2"/>
      </w:pPr>
      <w:r>
        <w:t>Erwägungen</w:t>
      </w:r>
    </w:p>
    <w:p>
      <w:r>
        <w:rPr>
          <w:b/>
        </w:rPr>
        <w:t>E. 4</w:t>
      </w:r>
    </w:p>
    <w:p>
      <w:r>
        <w:t>a) Der Beschwerdeführer erhebt die Rüge, die erteilte Bewilligung verstosse gegen Umweltschutzrecht, erstmals im Verfahren vor Bundesgericht. Da im Verfahren der Verwaltungsgerichtsbeschwerde das Recht von Amtes wegen angewandt wird ( Art. 114 Abs. 1 OG ), ist diese Rüge zulässig. b) Das Departement hat sich mit den Anforderungen des Bundesgesetzes vom 7. Oktober 1983 über den Umweltschutz (Umweltschutzgesetz, USG; SR 814.01) an die Zulässigkeit der Umweltbelastung durch Lärm (insbesondere zur Nachtzeit) nicht auseinandergesetzt und dessen Bestimmungen nicht angewandt. Es stützte seinen Entscheid vom 25. Februar 1991 ausschliesslich auf Art. 95 der Verordnung des Bundesrats vom 14. November 1973 über die Luftfahrt (Luftfahrtverordnung, LFV; SR 748.01) . Nach Abs. 1 dieser Bestimmung ist bei der Bewilligung von Nachtflugbewegungen in der Zeit von 22.00 bis 06.00 Uhr ohne Rücksicht auf die Gesamtzahl BGE 118 Ib 530 S. 533 der Bewegungen grösste Zurückhaltung zu üben. Die Voraussetzungen, unter denen eine Nachtflugbewilligung für den gewerbsmässigen Nichtlinienverkehr erteilt werden darf, werden nicht genannt, so dass die Bewilligungsbehörde über einen gewissen Beurteilungsspielraum verfügt. Bei der Beurteilung konkreter Gesuche um Bewilligung von Flugbewegungen zur Nachtzeit hat sie insbesondere das Interesse an Transportleistungen gegenüber demjenigen der betroffenen Bevölkerung an Nachtruhe abzuwägen. c) Die zeitliche Begrenzung und die Bewilligungspflicht von gewerbsmässigen Flügen des Nichtlinienverkehrs in der Nacht - wie sie die Nachtflugsperrordnung für den Flughafen Zürich-Kloten und Art. 95 LFV vorsehen - sind "Verkehrsvorschriften" im Sinne von Art. 12 Abs. 1 lit. c USG (ANDRÉ SCHRADE, Kommentar zum Umweltschutzgesetz, N. 26 zu Art. 12). Nach der Systematik der Luftfahrtverordnung dient Art. 95 LFV der Lärmbekämpfung. d) Gemäss Art. 4 USG müssen die Ausführungsvorschriften über Umwelteinwirkungen durch Luftverunreinigungen, Lärm, Erschütterungen und Strahlen aufgrund anderer Bundesgesetze unter anderem dem Grundsatz für Emissionsbegrenzungen ( Art. 11 USG ) entsprechen. Diese Vorschrift dient dazu, Grundsätze und Kriterien zum Schutz der natürlichen Lebensgrundlagen zu vereinheitlichen (vgl. dazu HERIBERT RAUSCH, Kommentar zum Umweltschutzgesetz, N. 6 zu Art. 4). Für Verordnungen, die bereits vor Inkrafttreten des Umweltschutzgesetzes erlassen worden sind, bedeutet dies, dass sie zu ändern sind, falls sie jenen Normen nicht genügen (H. RAUSCH, a.a.O., N. 10 zu Art. 4). Weil sich die nach Art. 4 USG erforderlichen Anpassungen bestehender Verordnungen "nicht von heute auf morgen vollziehen lassen", verpflichtet Art. 64 USG den Bundesrat, "ein entsprechendes Programm auszuarbeiten und die nötigen Änderungen und Ergänzungen gemäss dieser Prioritätenliste" herbeizuführen (Botschaft zu einem Bundesgesetz über den Umweltschutz (USG) vom 31. Oktober 1979 [BBl 1979 III S. 781]; H. RAUSCH, a.a.O., N. 3 zu Art. 4). Für das Luftfahrtrecht sind bereits verschiedene Anpassungen vorgenommen worden, wovon hier der Anhang 5 zur Lärmschutz-Verordnung zu erwähnen ist, worin die Belastungsgrenzwerte für Lärm von Regionalflughäfen und Flugfeldern festgesetzt wurden. Die Vollzugsvorschriften im Bereich des Luftfahrtrechts sind jedoch noch nicht vollständig. So fehlen insbesondere Belastungsgrenzwerte für Landesflughäfen und Militärflugplätze (vgl. dazu H. RAUSCH, Panorama des Umweltrechts, herausgegeben vom BGE 118 Ib 530 S. 534 Bundesamt für Umwelt, Wald und Landschaft [BUWAL], Dezember 1990, S. 13). Auch sonst fehlen im Umweltschutzgesetz und in der dazugehörigen Lärmschutz-Verordnung vom 15. Dezember 1986 (LSV; SR 814.41) Normen, die für die Frage der Bewilligung konkreter Flugbewegungen direkt anwendbar wären. Bisher gibt es somit im hier interessierenden Bereich kein Umweltschutzrecht, das allenfalls über die Bestimmung des Art. 95 LFV hinausginge und worauf sich das Departement im angefochtenen Entscheid hätte stützen können. e) Art. 12 Abs. 2 USG bestimmt, dass Emissionsbegrenzungen durch Verordnungen oder, soweit diese nichts vorsehen, durch unmittelbar auf dieses Gesetz abgestützte Verfügungen vorgeschrieben werden. Gestützt darauf vertritt der Beschwerdeführer die Meinung, das Departement hätte eine unmittelbar auf das Umweltschutzgesetz abgestützte Verfügung erlassen sollen. Da mit Art. 95 LFV jedoch eine Bestimmung vorhanden ist, die Massnahmen zur Bekämpfung des Lärms von startenden und landenden Flugzeugen zur Nachtzeit vorsieht, bestand hiezu keine Notwendigkeit. f) Entgegen der Auffassung der Beschwerdegegnerin und der Vorinstanz ist jedoch auch Art. 3 Abs. 2 LSV für die Lärmemissionen, die durch zusätzliche Nachtflugbewilligungen entstehen, nicht anwendbar. Diese Bestimmung gilt - wie der Beschwerdeführer zu Recht ausführt - nur für die Emissionsbegrenzungen am Fahrzeug (hier am Flugzeug) selber. Im vorliegenden Fall steht aber der Betrieb oder allenfalls die Änderung des Betriebs einer ortsfesten Anlage, nämlich des Flughafens, zur Diskussion.</w:t>
      </w:r>
    </w:p>
    <w:p>
      <w:r>
        <w:rPr>
          <w:b/>
        </w:rPr>
        <w:t>E. 5</w:t>
      </w:r>
    </w:p>
    <w:p>
      <w:r>
        <w:t>a) Demnach ist nicht zu beanstanden, dass das Departement seinen Entscheid nur auf Art. 95 LFV stützte. Da die genannte Bestimmung die Voraussetzungen, unter denen eine Nachtflugbewilligung erteilt werden kann, nicht nennt, sind immerhin bei der vorzunehmenden Abwägung zwischen dem Interesse der Fluggesellschaft und der Passagiere an Transportleistungen einerseits sowie dem öffentlichen Interesse des Lärmschutzes anderseits die Grundsätze der Umweltschutzgesetzgebung zu beachten und miteinzubeziehen. b) Das Departement hat im angefochtenen Entscheid zu Recht berücksichtigt, dass eine Verschiebung der Rotation, für welche die 14 geplanten Bewegungen beantragt wurden, betrieblich nicht möglich und ein gänzlicher Verzicht auf die streitige Rotation für die Beschwerdegegnerin unverhältnismässig gewesen wäre. In technischer Hinsicht wurde dem öffentlichen Interesse am Lärmschutz dadurch Rechnung getragen, dass die Nachtflugbewilligung nur erteilt wurde, BGE 118 Ib 530 S. 535 weil es sich beim eingesetzten Airbus A-310/322 um ein lärmarmes Flugzeug handelt, das den Grenzwerten gemäss Kapitel 3 des Anhangs 16 der International Civil Aviation Organization (ICAO) zum Übereinkommen vom 7. Dezember 1944 über die internationale Zivilluftfahrt (Chicago-Übereinkommen, SR 0.748.0) entspricht. Auch die Unterscheidung zwischen geplanten und Reservebewegungen ist zweckmässig und gerechtfertigt. Dass die Reservebewegungen dazu dienen sollten, die Flexibilität der Fluggesellschaften zu erhöhen, ist nicht erstellt. Vielmehr ist mit der Vorinstanz davon auszugehen, dass diese Reservebewegungen tatsächlich dazu dienen, unvorhergesehene, nicht in den Einflussbereich der Fluggesellschaften fallende Verspätungen aufzufangen. Entsprechend sind die effektiv in Anspruch genommenen Bewegungen zu begründen. Dass die Beschwerdegegnerin die ihr für die Winterperiode 1989/90 bewilligten Reservebewegungen nicht voll ausgeschöpft hat, spricht noch nicht dafür, dass zu viele Bewegungen bewilligt worden wären. Naturgemäss müssen Reserven nicht in jedem Fall beansprucht werden, und vorliegend erscheint eine solche von elf Flugbewegungen für ein halbes Jahr bei einer Unternehmung wie der Balair AG nicht übermässig. c) Die Vorinstanz hat somit die Interessenabwägung gestützt auf Art. 95 LFV korrekt vorgenommen und grösste Zurückhaltung geübt. Dieser Entscheid steht demnach auch mit dem unveröffentlichten Urteil des Bundesgerichts vom 7. März 1988 in Sachen Schutzverband der Bevölkerung um den Flughafen Zürich und H.G. im Einklang.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