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163 vom 1. Januar 1992</w:t>
      </w:r>
    </w:p>
    <w:p>
      <w:r>
        <w:t>Bundesgericht (BGE), 1992-01-01, DE</w:t>
      </w:r>
    </w:p>
    <w:p>
      <w:r>
        <w:rPr>
          <w:b/>
        </w:rPr>
        <w:t xml:space="preserve">Quelle: </w:t>
      </w:r>
      <w:r>
        <w:t>https://mcp.opencaselaw.ch/entscheid/bge_BGE_118_IB_163</w:t>
      </w:r>
    </w:p>
    <w:p>
      <w:r>
        <w:t>FR: BGE BGE 118 IB 163 du 1 janvier 1992</w:t>
      </w:r>
    </w:p>
    <w:p>
      <w:r>
        <w:t>IT: BGE BGE 118 IB 163 del 1 gennaio 1992</w:t>
      </w:r>
    </w:p>
    <w:p>
      <w:pPr>
        <w:pStyle w:val="Heading2"/>
      </w:pPr>
      <w:r>
        <w:t>Regeste</w:t>
      </w:r>
    </w:p>
    <w:p>
      <w:r>
        <w:t>Regeste Verantwortlichkeit des Bundes (Art. 3 VG). Begriff der Widerrechtlichkeit bei fehlerhaften Rechtsakten.</w:t>
      </w:r>
    </w:p>
    <w:p>
      <w:r>
        <w:t>Regeste Responsabilité de la Confédération (art. 3 LRCF). Notion d'illicéité des actes d'un magistrat ou d'un fonctionnaire.</w:t>
      </w:r>
    </w:p>
    <w:p>
      <w:r>
        <w:t>Regesto Responsabilità della Confederazione (art. 3 LResp). Nozione d'illiceità di atti giuridici viziati.</w:t>
      </w:r>
    </w:p>
    <w:p>
      <w:pPr>
        <w:pStyle w:val="Heading2"/>
      </w:pPr>
      <w:r>
        <w:t>Erwägungen</w:t>
      </w:r>
    </w:p>
    <w:p>
      <w:r>
        <w:rPr>
          <w:b/>
        </w:rPr>
        <w:t>E. 2</w:t>
      </w:r>
    </w:p>
    <w:p>
      <w:r>
        <w:t>Der Bund haftet nur, wenn die Schadenszufügung widerrechtlich ist ( Art. 3 Abs. 1 VG ). Widerrechtlichkeit setzt die Verletzung eines Rechtsgutes voraus. Das Vermögen als solches ist kein Rechtsgut; seine Schädigung für sich allein ist somit nicht BGE 118 Ib 163 S. 164 widerrechtlich. Sie ist es nur dann, wenn eine Norm des geschriebenen oder ungeschriebenen Rechts verletzt wird, die zum Schutz vor solchen Schädigungen bestimmt ist ( BGE 116 Ib 195 E. 2a, 373 E. 4b; BGE 115 II 18 E. 3 BGE 107 Ib 164 ; 103 Ib 68 ). Soweit Rechtsakte in Frage stehen, setzt die Widerrechtlichkeit des Verhaltens eines Richters oder Beamten in Ausübung seiner amtlichen Befugnis einen besonderen Fehler voraus, der nicht schon vorliegt, wenn sich seine Entscheidung später als unrichtig, gesetzwidrig oder sogar willkürlich erweist ( BGE 112 Ib 449 ; Urteil X. vom 18. Januar 1980, in SJ 103/1981, S. 225 ff.). Haftungsbegründende Widerrechtlichkeit ist vielmehr erst dann gegeben, wenn der Richter oder Beamte eine für die Ausübung seiner Funktion wesentliche Pflicht, eine wesentliche Amtspflicht, verletzt hat ( BGE 112 II 235 ; Urteil X., a.a.O., S. 233). Die Amtspflichten sollen vor Schädigungen durch fehlerhafte Rechtsakte schützen, nicht die Normen des materiellen Rechts selbst, die der Richter oder Beamte anzuwenden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