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134 vom 1. Januar 1992</w:t>
      </w:r>
    </w:p>
    <w:p>
      <w:r>
        <w:t>Bundesgericht (BGE), 1992-01-01, DE</w:t>
      </w:r>
    </w:p>
    <w:p>
      <w:r>
        <w:rPr>
          <w:b/>
        </w:rPr>
        <w:t xml:space="preserve">Quelle: </w:t>
      </w:r>
      <w:r>
        <w:t>https://mcp.opencaselaw.ch/entscheid/bge_BGE_118_IB_134</w:t>
      </w:r>
    </w:p>
    <w:p>
      <w:r>
        <w:t>FR: BGE BGE 118 IB 134 du 1 janvier 1992</w:t>
      </w:r>
    </w:p>
    <w:p>
      <w:r>
        <w:t>IT: BGE BGE 118 IB 134 del 1 gennaio 1992</w:t>
      </w:r>
    </w:p>
    <w:p>
      <w:pPr>
        <w:pStyle w:val="Heading2"/>
      </w:pPr>
      <w:r>
        <w:t>Regeste</w:t>
      </w:r>
    </w:p>
    <w:p>
      <w:r>
        <w:t>Regeste Verwaltungsgerichtsbeschwerde; Beschwerdebegründung (Art. 108 Abs. 2 OG). Die Begründung muss sachbezogen sein. Eine Auseinandersetzung lediglich mit der materiellen Seite des Falles genügt diesem Erfordernis nicht, wenn die Vorinstanz aus formellen Gründen einen Nichteintretensentscheid gefällt hat (E. 2).</w:t>
      </w:r>
    </w:p>
    <w:p>
      <w:r>
        <w:t>Regeste Recours de droit administratif; motivation du recours (art. 108 al. 2 OJ). La motivation doit être topique. Le fait de discuter du fond de l'affaire ne satisfait pas cette exigence lorsque l'autorité précédente refuse d'entrer en matière pour des motifs formels (consid. 2).</w:t>
      </w:r>
    </w:p>
    <w:p>
      <w:r>
        <w:t>Regesto Ricorso di diritto amministrativo; motivazione del ricorso (art. 108 cpv. 2 OG). La motivazione deve riferirsi all'oggetto del litigio. Contestare soltanto il merito della causa, quando l'autorità precedente ha emanato una decisione d'inammissibilità fondata su motivi formali, non adempie tale esigenza (consid. 2).</w:t>
      </w:r>
    </w:p>
    <w:p>
      <w:pPr>
        <w:pStyle w:val="Heading2"/>
      </w:pPr>
      <w:r>
        <w:t>Erwägungen</w:t>
      </w:r>
    </w:p>
    <w:p>
      <w:r>
        <w:rPr>
          <w:b/>
        </w:rPr>
        <w:t>E. 2</w:t>
      </w:r>
    </w:p>
    <w:p>
      <w:r>
        <w:t>Im verwaltungsgerichtlichen Beschwerdeverfahren hat die Beschwerdeschrift nach Art. 108 Abs. 2 OG unter anderem die Begehren und deren Begründung zu enthalten. Lassen die Begehren oder deren Begründung die nötige Klarheit vermissen und stellt sich die Beschwerde nicht als offensichtlich unzulässig heraus, so ist dem Beschwerdeführer eine kurze Nachfrist zur Behebung des Mangels anzusetzen ( Art. 108 Abs. 3 OG ). Im Unterschied zur staatsrechtlichen Beschwerde, wo das Rügeprinzip gilt ( Art. 90 Abs. 1 lit. b OG ; BGE 110 Ia 3 E. 2a), ist das Bundesgericht an die Begründung der Verwaltungsgerichtsbeschwerde nicht gebunden (Art. 114 Abs. 1 in fine OG). Nach der bundesgerichtlichen Rechtsprechung sind an Begehren und Begründung einer Verwaltungsgerichtsbeschwerde keine allzu hohen Anforderungen zu stellen. Es genügt, wenn aus der Beschwerdeschrift ersichtlich ist, in welchen Punkten und weshalb der angefochtene Entscheid beanstandet wird ( BGE 113 Ib 287 f. mit Hinweisen). BGE 118 Ib 134 S. 136 Die Begründung braucht nicht zuzutreffen, sie muss aber immerhin sachbezogen sein ( BGE 101 V 127 ). Auch in der Lehre wird die Auffassung geteilt, eine minimale Sachbezogenheit der Begründung sei bei der Verwaltungsgerichtsbeschwerde Gültigkeitserfordernis (ANDRÉ GRISEL, Traité de droit administratif, Neuchâtel 1984, S. 915; FRITZ GYGI, Bundesverwaltungsrechtspflege, 2. Aufl. Bern 1983, S. 197). Ist die Vorinstanz auf das Begehren des Beschwerdeführers nicht eingetreten, so muss sich die Begründung der Verwaltungsgerichtsbeschwerde mit dieser Frage befassen. Eine Auseinandersetzung lediglich mit der materiellen Seite des Falles ist nach der bundesgerichtlichen Rechtsprechung nicht sachbezogen, wenn die Vorinstanz aus formellen Gründen einen Nichteintretensentscheid gefällt hat (ASA 49, 251; zustimmend GRISEL, a.a.O., S. 915). Anders könnte es sich allenfalls dann verhalten, wenn materielle und formelle Frage in engem Zusammenhang stehen, beispielsweise, wenn das prozessuale Eintreten auf ein Gesuch von einer erheblichen Änderung der tatsächlichen Verhältnisse abhängig ist (vgl. BGE 109 V 119 , der sich allerdings nur zum Antrag, nicht aber zur Begründung äussert). Eine Nachfrist ist nur anzusetzen, wenn die Angaben in der Beschwerde unklar, d.h. mehrdeutig sind. Die Nachfrist kann jedoch nicht dazu dienen, eine inhaltlich ungenügende Rechtsschrift zu ergänzen ( BGE 112 Ib 635 E. 2a ; 96 I 96 ).</w:t>
      </w:r>
    </w:p>
    <w:p>
      <w:r>
        <w:rPr>
          <w:b/>
        </w:rPr>
        <w:t>E. 3</w:t>
      </w:r>
    </w:p>
    <w:p>
      <w:r>
        <w:t>Die fristgerecht eingereichte Beschwerdeschrift vom 23. August 1991 ist an sich klar. Sie enthält das Begehren, Art. 31 Abs. 3 der Schlachtviehverordnung aufzuheben oder abzuändern; die Beschwerdeführerin begründet auch, weshalb diese Bestimmung ihrer Meinung nach rechtswidrig sei. Indessen lassen Antrag und Begründung jeden Bezug zum angefochtenen Entscheid des Eidgenössischen Volkswirtschaftsdepartements vermissen. Dieses hat die Feststellungsverfügung des Bundesamtes für Landwirtschaft aufgehoben und ist auf das Gesuch um Erlass einer solchen nicht eingetreten, weil es an einem schutzwürdigen Interesse im Sinne von Art. 25 Abs. 2 VwVG fehle. Das hätte die Beschwerdeführerin beanstanden können, und sie hätte den Antrag stellen können, dass sich die Vorinstanz materiell mit ihrem Feststellungsbegehren zu befassen habe. Nichts dergleichen lässt sich jedoch der Beschwerdeschrift vom 23. August 1991 entnehmen. Diese enthält weder einen Antrag, inwiefern der Nichteintretensentscheid des Eidgenössischen Volkswirtschaftsdepartements abzuändern wäre, noch eine Begründung hiezu. Gegenteils erklärt die BGE 118 Ib 134 S. 137 Beschwerdeführerin ausdrücklich, die (einzig massgebliche) Frage der Zulässigkeit einer Feststellungsverfügung interessiere sie nicht. Das zeigt mit aller Deutlichkeit, dass auch für die Beschwerdeführerin die Unterscheidung zwischen formeller und materieller Seite des Streites ohne weiteres erkennbar war. Hinzu kommt, dass der Antrag auf Aufhebung eines Erlasses im verwaltungsgerichtlichen Beschwerdeverfahren ohnehin unzulässig ist ( Art. 97 OG ). Da es sich um eine den Anforderungen von Art. 108 Abs. 2 OG nicht genügende Beschwerdeschrift handelt, ist eine nachträgliche Verbesserung nicht möglich, weshalb die nach Ablauf der Beschwerdefrist eingereichte Eingabe vom 18. Oktober 1991 unbeachtlich ist. Auf die Verwaltungsgerichtsbeschwerde ist folglich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