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8 vom 1. Januar 1992</w:t>
      </w:r>
    </w:p>
    <w:p>
      <w:r>
        <w:t>Bundesgericht (BGE), 1992-01-01, DE</w:t>
      </w:r>
    </w:p>
    <w:p>
      <w:r>
        <w:rPr>
          <w:b/>
        </w:rPr>
        <w:t xml:space="preserve">Quelle: </w:t>
      </w:r>
      <w:r>
        <w:t>https://mcp.opencaselaw.ch/entscheid/bge_BGE_118_IA_8</w:t>
      </w:r>
    </w:p>
    <w:p>
      <w:r>
        <w:t>FR: BGE BGE 118 IA 8 du 1 janvier 1992</w:t>
      </w:r>
    </w:p>
    <w:p>
      <w:r>
        <w:t>IT: BGE BGE 118 IA 8 del 1 gennaio 1992</w:t>
      </w:r>
    </w:p>
    <w:p>
      <w:pPr>
        <w:pStyle w:val="Heading2"/>
      </w:pPr>
      <w:r>
        <w:t>Regeste</w:t>
      </w:r>
    </w:p>
    <w:p>
      <w:r>
        <w:t>Regeste Art. 4 BV, Willkür, Rechtsgleichheit, überspitzter Formalismus; Fristwahrung bei der Bezahlung von Kostenvorschüssen, Sammelauftragsdienst der PTT. Nichteintretensentscheid einer kantonalen Behörde in einem Verfahren betreffend kantonale Steuern und direkte Bundessteuer. Die Rüge, kantonales Verfahrensrecht sei verfassungswidrig angewendet worden, ist mit staatsrechtlicher Beschwerde und (hinsichtlich der direkten Bundessteuer) mit Verwaltungsgerichtsbeschwerde zu erheben. Gleiche Kognition bei beiden Rechtsmitteln, aber unterschiedliche Begründungsanforderungen (E. 1). Auswirkungen der neuen bundesgerichtlichen Rechtsprechung zur Bezahlung des Kostenvorschusses per Sammelauftragsdienst (BGE 117 Ib 220) auf kantonale Verfahren? Eine kantonale Behörde verletzt nicht schon dadurch verfassungsmässige Rechte, dass sie kantonalrechtliche Fristwahrungsbestimmungen noch entsprechend der früheren bundesgerichtlichen Rechtsprechung zu Art. 32 OG auslegt (E. 2).</w:t>
      </w:r>
    </w:p>
    <w:p>
      <w:r>
        <w:t>Regeste Art. 4 Cst., arbitraire, formalisme excessif; sauvegarde du délai lors du paiement des avances de frais, service des ordres groupés des PTT. Décision de non-entrée en matière d'une autorité cantonale dans une procédure concernant les impôts cantonaux et l'impôt fédéral direct. Le grief tiré de l'application anticonstitutionnelle du droit cantonal de procédure doit être soulevé par la voie du recours de droit public et, pour l'impôt fédéral direct, par la voie du recours de droit administratif. Le pouvoir d'examen est le même dans les deux cas, mais les exigences de motivation sont différentes (consid. 1). Conséquences sur la procédure cantonale de la nouvelle jurisprudence du Tribunal fédéral relative au paiement de l'avance de frais en utilisant le service des ordres groupés des PTT (ATF 117 Ib 220)? Une autorité cantonale ne viole pas les droits constitutionnels par le seul fait qu'elle applique encore des dispositions du droit cantonal en matière de sauvegarde du délai conformément à l'ancienne jurisprudence du Tribunal fédéral sur l'art. 32 OJ (consid. 2).</w:t>
      </w:r>
    </w:p>
    <w:p>
      <w:r>
        <w:t>Regesto Art. 4 Cost., arbitrio, formalismo eccessivo; rispetto del termine assegnato per il versamento di un anticipo delle spese, servizio degli ordini collettivi delle PTT. Decisione d'inammissibilità emanata da un'autorità cantonale in materia di imposta cantonale e di imposta federale diretta. La censura secondo cui il diritto processuale cantonale è stato applicato in modo arbitrario dev'essere fatta valere con ricorso di diritto pubblico e, per quanto concerne l'imposta federale diretta, con ricorso di diritto amministrativo. Il potere d'esame è uguale in entrambi i rimedi, solo i requisiti concernenti la motivazione sono differenti (consid. 1). Effetti della nuova giurisprudenza del Tribunale federale in materia di versamento di un anticipo delle spese tramite il servizio degli ordini collettivi delle PTT (DTF 117 Ib 220) sulla procedura cantonale? Un'autorità cantonale non viola diritti costituzionali solo perché applica norme di diritto cantonale concernenti il rispetto del termine conformemente alla previgente giurisprudenza del Tribunale federale relativa all'art. 32 OG (consid. 2).</w:t>
      </w:r>
    </w:p>
    <w:p>
      <w:pPr>
        <w:pStyle w:val="Heading2"/>
      </w:pPr>
      <w:r>
        <w:t>Erwägungen</w:t>
      </w:r>
    </w:p>
    <w:p>
      <w:r>
        <w:rPr>
          <w:b/>
        </w:rPr>
        <w:t>E. 1</w:t>
      </w:r>
    </w:p>
    <w:p>
      <w:r>
        <w:t>a) Angefochten ist der Entscheid einer letzten kantonalen Behörde, die gestützt auf kantonales Recht auf eine Beschwerde nicht eingetreten ist, die sich gegen einen Entscheid richtete, der sowohl eine bundesrechtliche (direkte Bundessteuer) als auch eine kantonalrechtliche (Staats- und Gemeindesteuer) Materie beschlägt. Soweit der Nichteintretensentscheid die kantonalen Steuern betrifft, ist nur die staatsrechtliche Beschwerde wegen Verletzung verfassungsmässiger Rechte zulässig. Es stellt sich die Frage, ob der Nichteintretensentscheid insoweit mit Verwaltungsgerichtsbeschwerde anzufechten ist, als er die direkte Bundessteuer betrifft. b) Mit der Verwaltungsgerichtsbeschwerde kann der Beschwerdeführer die Verletzung von Bundesrecht einschliesslich Überschreitung oder Missbrauch des Ermessens rügen ( Art. 104 lit. a OG ). Nach ständiger Rechtsprechung des Bundesgerichts kann dabei auch die Rüge der Verletzung von Bundesverfassungsrecht erhoben werden, soweit diese eine Angelegenheit betrifft, die in die Sachzuständigkeit der eidgenössischen Verwaltungsrechtspflegeinstanz fällt ( BGE 111 Ib 202 E. 2 mit Hinweisen). Haben kantonale Instanzen Bundesverwaltungsrecht anzuwenden und ist in der Hauptsache die Verwaltungsgerichtsbeschwerde zulässig, so ist die Rüge, das kantonale Verfahrensrecht sei in Art. 4 BV verletzender Weise angewendet worden, ebenfalls mit Verwaltungsgerichtsbeschwerde geltend zu machen, und zwar selbst dann, wenn nicht gleichzeitig eine Verletzung von materiellem Bundesverwaltungsrecht behauptet wird, dessen Anwendung indessen übermässig erschwert oder gar vereitelt werden könnte (a.a.O.). Tritt eine kantonale Behörde auf ein Rechtsmittel allein gestützt auf kantonales Verfahrensrecht nicht ein, führt dies dazu, dass die korrekte Anwendung von Bundesrecht nicht überprüft wird, letztlich also die Durchsetzung von Bundesrecht vereitelt werden könnte. Im vorliegenden Fall ist daher der Nichteintretensentscheid mit Verwaltungsgerichtsbeschwerde anzufechten. Dies heisst jedoch nicht, dass die Anwendung von kantonalem Recht frei geprüft wird. Es ist nur zu prüfen, ob die kantonale Behörde das kantonale Recht in einer Bundesverfassungsrecht verletzenden Weise angewendet hat. Die Prüfungsbefugnis des Bundesgerichts geht daher nicht weiter als bei der staatsrechtlichen Beschwerde. BGE 118 Ia 8 S. 11 c) Der Unterschied zwischen den beiden Rechtsmitteln besteht darin, dass bei der staatsrechtlichen Beschwerde nur ausdrücklich erhobene und in einer den strengen Anforderungen von Art. 90 Abs. 1 lit. b OG genügenden Weise begründete Rügen geprüft werden, bei der Verwaltungsgerichtsbeschwerde dagegen die Bundesrechtskonformität des Entscheids von Amtes wegen und ohne Bindung an die Beschwerdebegründung zu prüfen ist. Im vorliegenden Fall werden alle mit der staatsrechtlichen Beschwerde erhobenen Rügen im wesentlichen in einer den Begründungsanforderungen von Art. 90 Abs. 1 lit. b OG genügenden Weise vorgetragen. Sie werden ausnahmslos auch mit der Verwaltungsgerichtsbeschwerde erhoben. Sodann sind die Sachverhaltsfeststellungen des Verwaltungsgerichts auch im Rahmen der Verwaltungsgerichtsbeschwerde jedenfalls nicht mit weiterer Kognition zu prüfen als in der staatsrechtlichen Beschwerde ( Art. 105 Abs. 2 OG ). Es rechtfertigt sich daher, die beiden Beschwerdeverfahren zu vereinigen und die gegen das gleiche Urteil gerichteten Beschwerden und die einzelnen Rügen zusammen zu behandeln. Einzig die Frage, ob die vom Verwaltungsgericht getroffene Auslegung des kantonalen Rechts hinsichtlich der Fristwahrung bei Bezahlung des Kostenvorschusses per Sammelauftragsdienst der PTT sich aus der Bundesverfassung ergebende Rechte des Beschwerdeführers verletzt, ist ausschliesslich im Rahmen der Verwaltungsgerichtsbeschwerde zu prüfen (E. 2), da in der staatsrechtlichen Beschwerde (wie in der Verwaltungsgerichtsbeschwerde) keine entsprechende ausdrückliche Rüge erhoben worden ist.</w:t>
      </w:r>
    </w:p>
    <w:p>
      <w:r>
        <w:rPr>
          <w:b/>
        </w:rPr>
        <w:t>E. 2</w:t>
      </w:r>
    </w:p>
    <w:p>
      <w:r>
        <w:t>a) Das Verwaltungsgericht hat die Bezahlung des Kostenvorschusses durch den Beschwerdeführer als verspätet bezeichnet, weil der durch die von diesem beauftragte Bank erstellte Datenträger mit dem fraglichen Zahlungsauftrag so spät bei der Verarbeitungsstelle der Postcheckdienste der Generaldirektion PTT in Bern eingetroffen sei, dass die Gutschrift nicht mehr am letzten Tag der Frist habe vorgenommen werden können; der Beschwerdeführer habe den ihm obliegenden Beweis nicht erbringen können, dass der Datenträger rechtzeitig zur Post gegeben worden sei. Es ging dabei von der Rechtsauffassung aus, dass bei Benützung des Sammelauftragsdienstes der PTT für die Bezahlung eines Kostenvorschusses die Zahlungsfrist nicht schon dann gewahrt ist, wenn als Fälligkeitsdatum für die Zahlung spätestens der letzte Tag der Frist eingesetzt und der Datenträger ebenfalls spätestens am letzten Tag der Frist zur Post gegeben worden ist. Es stützte sich dabei auf die damals und bis vor kurzem geltende Praxis des Bundesgerichts. BGE 118 Ia 8 S. 12 Das Bundesgericht hatte gestützt auf die Fristwahrungsregeln des Bundesgesetzes über die Organisation der Bundesrechtspflege (OG), die mit den entsprechenden Bestimmungen des luzernischen Gesetzes über die Verwaltungsrechtspflege vom 3. Juli 1972 (VRG) im wesentlichen übereinstimmen ( Art. 32 OG , §§ 33 und 34 VRG), festgestellt, dass bei Benützung des Sammelauftragsdienstes der PTT die Frist zur Bezahlung des Kostenvorschusses nur dann gewahrt ist, wenn als Fälligkeitsdatum spätestens der letzte Tag der Frist eingesetzt und der Datenträger so rechtzeitig der Post übergeben wird, dass die Gutschrift auf dem Empfängerkonto nach dem ordentlichen postalischen Gang spätestens am bezeichneten Tag noch erfolgen kann ( BGE 114 Ib 68 /9 E. 1 mit Hinweis). An einer Plenarsitzung aller Richter sämtlicher Abteilungen des Bundesgerichts sowie des Eidgenössischen Versicherungsgerichts vom 25. Juni 1991 wurde eine Änderung der bisherigen Rechtsprechung beschlossen. Danach genügt es, wenn einerseits spätestens der letzte Tag der vom Bundesgericht festgesetzten Frist als Fälligkeitsdatum eingesetzt ist und andererseits der Datenträger innert dieser Frist der Post übergeben wird. Es ist nicht mehr erforderlich, dass die Gutschrift auf dem Empfängerkonto noch innert der Zahlungsfrist erfolgen kann ( BGE 117 Ib 220 ). Hätte das Verwaltungsgericht für das kantonale Verfahren entsprechend dieser neuen, erst nach seinem Entscheid begründeten Rechtsprechung des Bundesgerichts zum Verfahren vor Bundesgericht entschieden, hätte es die Kostenvorschusszahlung als rechtzeitig erachtet. b) Massgeblicher Gesichtspunkt für die von einer Mehrheit des Gesamtbundesgerichts beschlossene Änderung der Rechtsprechung zu Art. 32 OG ist, im Sinne einer Vereinheitlichung und Gleichbehandlung sämtlicher Zahlungsarten vom Erfordernis abzusehen, dass die Gutschrift auf dem Konto der Gerichtskasse am letzten Tag der Frist erfolgt sein muss. Nach der früheren Praxis galt dieses Erfordernis einzig im Fall, wo eine Bank mit der Zahlung des Kostenvorschusses beauftragt wurde und den Sammelauftragsdienst der PTT benützte. Bei allen anderen Zahlungsarten (Bezahlung mit Einzahlungsschein, Zustellung eines Post- oder Bankchecks, Giromandat) genügte es, wenn der Kostenvorschuss am letzten Tag der Frist bei einer Poststelle einbezahlt oder die Sendung mit dem Überweisungsauftrag beziehungsweise dem Check am letzten Tag dieser Frist der Post übergeben wurde. Diese Praxis hatte zur Folge, dass bei einer häufig benützten Zahlungsart die Zahlungsfrist faktisch verkürzt wurde, weil die mit der Zahlung beauftragte Bank den BGE 118 Ia 8 S. 13 Datenträger mindestens zwei Tage vor Ablauf der Zahlungsfrist verschicken musste. Die Praxisänderung wird insgesamt den heutigen Zahlungsgepflogenheiten besser gerecht. Auch sie bietet Gewähr dafür, dass Missbräuche ausgeschlossen sind, sind doch sowohl für die Einsetzung des Fälligkeitsdatums als auch für die Postaufgabe Grenzen gesetzt. c) Die auf die frühere bundesgerichtliche Rechtsprechung gestützte Praxis des Kantons Luzern verstösst indessen nicht gegen verfassungsmässige Rechte. Vorerst fällt eine Verletzung des Willkürverbots ausser Betracht. Orientiert sich nämlich eine kantonale Behörde erklärtermassen gerade an der publizierten und noch geltenden Bundesgerichtspraxis, die auf der Auslegung einer bundesrechtlichen Norm beruht, kann ihr nicht vorgeworfen werden, ihr Entscheid sei unhaltbar und damit willkürlich. Das Rechtsgleichheitsgebot wäre nur verletzt, wenn sich für eine unterschiedliche Behandlung von Sammelauftragsdienst einerseits und der übrigen Zahlungsarten anderseits überhaupt keine sachlichen und vernünftigen Gründe anführen liessen. Wohl hat sich das Bundesgericht für eine Gleichbehandlung sämtlicher Zahlungsarten entschieden, was aber nicht heisst, dass die gegenteilige Lösung angesichts der unterschiedlichen Zahlungsabläufe mit dem Rechtsgleichheitsgebot unvereinbar wäre. Wird der Sammelauftragsdienst benützt, so wird der Datenträger durch die beauftragte Bank zuerst an eine Zentralstelle der Banken übermittelt. Diese gibt den Zahlungsauftrag zusammen mit anderen Aufträgen auf einen Datenträger ein, und sie hat anzugeben, wann die Zahlungen auszuführen sind. Der Datenträger wird an die Verarbeitungsstelle der PTT übermittelt. Erst zum Zeitpunkt, da diese den Datenträger bearbeitet, liegen den PTT die einzelnen Zahlungsaufträge als individuell erfasste und ausführbare Aufträge vor. Angesichts dieser einzig bei Benützung des Sammelauftragsdienstes herrschenden Besonderheit war es vertretbar, die Einsetzung eines richtigen Fälligkeitsdatums und die innert Frist erfolgte Übergabe des Datenträgers an die Post nicht genügen zu lassen, weil eine fristgerechte postalische Erfassung des Auftrags nicht nur wegen des Zustellungswegs, sondern schon technisch bedingt ausgeschlossen war. Dabei konnte eben das eingesetzte Fälligkeitsdatum, wenn es nach den postalischen Vorschriften im Zeitpunkt der Verarbeitung nicht mehr zu berücksichtigen (sondern auf das nächstfolgende Bearbeitungsdatum zu verschieben) war, gar nicht "richtig" sein. Die neue BGE 118 Ia 8 S. 14 Praxis nimmt im Interesse der Vereinfachung diese logische Unsauberkeit in Kauf. Das Rechtsgleichheitsgebot wurde aber durch die alte Praxis nicht verletzt. Ebensowenig war diese Lösung überspitzt formalistisch. Auch unter dem Gesichtspunkt des Vertrauensprinzips war die Praxis nicht zu beanstanden, nachdem sie publiziert und damit als bekannt vorauszusetzen war. d) Wenn das Verwaltungsgericht das kantonale Recht entsprechend der damals bekannten bundesgerichtlichen Rechtsprechung zu Art. 32 OG auslegte, so verstiess es damit nicht gegen verfassungsmässige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