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369 vom 1. Januar 1992</w:t>
      </w:r>
    </w:p>
    <w:p>
      <w:r>
        <w:t>Bundesgericht (BGE), 1992-01-01, DE</w:t>
      </w:r>
    </w:p>
    <w:p>
      <w:r>
        <w:rPr>
          <w:b/>
        </w:rPr>
        <w:t xml:space="preserve">Quelle: </w:t>
      </w:r>
      <w:r>
        <w:t>https://mcp.opencaselaw.ch/entscheid/bge_BGE_118_IA_369</w:t>
      </w:r>
    </w:p>
    <w:p>
      <w:r>
        <w:t>FR: BGE BGE 118 IA 369 du 1 janvier 1992</w:t>
      </w:r>
    </w:p>
    <w:p>
      <w:r>
        <w:t>IT: BGE BGE 118 IA 369 del 1 gennaio 1992</w:t>
      </w:r>
    </w:p>
    <w:p>
      <w:pPr>
        <w:pStyle w:val="Heading2"/>
      </w:pPr>
      <w:r>
        <w:t>Regeste</w:t>
      </w:r>
    </w:p>
    <w:p>
      <w:r>
        <w:t>Regeste Art. 4 BV, Art. 152 OG; Anspruch auf unentgeltliche Rechtspflege. Bei der Abklärung, ob der Rechtsuchende im Sinne von Art. 152 OG bedürftig sei, ist nicht nur sein den Zwangsbedarf übersteigendes Einkommen, sondern auch allfälliges Vermögen angemessen zu berücksichtigen. Dies setzt aber voraus, dass das Vermögen im Zeitpunkt der Anhängigmachung des Prozesses oder mindestens bei der Gesuchstellung bereits vorhanden resp. verfügbar ist und nicht erst nach Abschluss des Prozesses realisiert werden kann (E. 4).</w:t>
      </w:r>
    </w:p>
    <w:p>
      <w:r>
        <w:t>Regeste Art. 4 Cst., art. 152 OJ; droit à l'assistance judiciaire. Non seulement la part du revenu dépassant le minimum vital, mais également, le cas échéant, la situation de fortune d'une partie doivent être équitablement prises en compte lorsqu'il s'agit de déterminer si celle-ci est dans le besoin au sens de l'art. 152 OJ. Mais cela suppose que la fortune existe, respectivement que la partie puisse en disposer au moment de l'introduction du procès ou au plus tard lors du dépôt de la requête d'assistance judiciaire; cette condition n'est pas remplie lorsqu'elle ne peut être réalisée qu'une fois le procès terminé (consid. 4).</w:t>
      </w:r>
    </w:p>
    <w:p>
      <w:r>
        <w:t>Regesto Art. 4 Cost., art. 152 OG; diritto all'assistenza giudiziaria. Per stabilire se una parte è bisognosa ai sensi dell'art. 152 OG, non va considerata unicamente la porzione del suo reddito che eccede il fabbisogno minimo vitale, ma anche un eventuale suo patrimonio. Senonché, ciò presuppone che tale patrimonio esista, risp. sia disponibile, al momento dell'introduzione del processo o, al più tardi, al momento in cui è chiesta l'assistenza giudiziaria, non è invece sufficiente che esso possa venir realizzato al termine della causa (consid. 4).</w:t>
      </w:r>
    </w:p>
    <w:p>
      <w:pPr>
        <w:pStyle w:val="Heading2"/>
      </w:pPr>
      <w:r>
        <w:t>Erwägungen</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111 Ia 7 mit Hinweis; BGE 112 Ia 15 mit Hinweisen; BGE 115 Ia 194 mit Hinweisen). Mit der Gewährung der unentgeltlichen Rechtspflege soll auch einem bedürftigen Rechtsuchenden der Zugang zum Gericht, allenfalls mit dem Beistand einer rechtskundigen Person, ermöglicht werden (vgl. MESSMER/IMBODEN, Die eidgenössischen Rechtsmittel in Zivilsachen, S. 211). Indem der Appellationshof die Prozessarmut der Beschwerdeführerin verneint, verstösst er in verschiedener Hinsicht gegen diesen Grundsatz. a) Der Appellationshof geht an sich vom zutreffenden Grundsatz aus, dass das Einkommen dem zivilprozessualen Zwangsbedarf gegenüberzustellen und allfälliges Vermögen angemessen zu berücksichtigen sei. Indessen unterlässt er es, festzustellen, dass ein den Zwangsbedarf ausreichend übersteigendes Einkommen der Beschwerdeführerin gar nicht vorhanden ist. Die erste kantonale Instanz hat festgestellt, dass bei Anrechnung eines Teils der Kinderalimente für die Wohnkosten nur gerade Fr. 150.-- über dem Existenzbedarf verbleiben - ein offensichtlich ungenügender Betrag, BGE 118 Ia 369 S. 371 um Gerichts- und Anwaltskostenvorschüsse innert angemessener Frist bezahlen zu können. b) Auch die Berücksichtigung von Vermögen setzt voraus, dass solches im Zeitpunkt der Anhängigmachung des Prozesses oder im Zeitpunkt des Gesuchs überhaupt vorhanden ist. Das trifft im vorliegenden Fall ganz offensichtlich nicht zu, sagt doch der Appellationshof selbst, die Beschwerdeführerin habe aus Güterrecht Fr. 42'750.-- zugute, und ergibt sich aus der Konvention, dass jedenfalls die Fr. 30'000.-- Eigengut erst per Scheidungstermin zurückzuzahlen sein werden. Nun ist aber der Scheidungsprozess erst anhängig gemacht und ist noch nicht abzusehen, wann der Güterrechtsanspruch überhaupt fällig wird. Nachdem sich weder aus den Akten noch aus den Entscheiden der beiden kantonalen Instanzen ergibt, dass auf allfällige sofort zu bezahlende Vorschüsse von Gerichtskosten zugunsten einer späteren Nachforderung verzichtet worden wäre, wird der Beschwerdeführerin der von Art. 4 BV gewährleistete Zugang zum Gericht erschwert oder gar verunmöglicht. Bereits unter diesem Gesichtspunkt erweist sich die Berücksichtigung des Betrags von Fr. 30'000.-- jedenfalls im jetzigen Zeitpunkt als unhaltbar. Es braucht deshalb nicht geprüft zu werden, ob dieser Betrag - wie die Beschwerdeführerin geltend macht - als eine Art "gebundenes" Vermögen zu betrachten wäre, das für die Alters- und Invaliditätsvorsorge reserviert zu bleiben hätte. c) Soweit der Appellationshof auf zusätzliche Fr. 12'750.-- abgestellt hat, ist nicht ersichtlich, woher dieser Betrag stammen soll. Aus Ziff. 7 der Ehescheidungskonvention ergibt sich lediglich ein interner Anrechnungswert von Fr. 320'000.-- für den hälftigen Anteil der Beschwerdeführerin an der ehelichen Liegenschaft. Es ist aber im gegenwärtigen Zeitpunkt völlig offen, ob und wann die Ehefrau ihren Anteil an der stark verschuldeten ehelichen Liegenschaft und in welchem Betrag überhaupt je zu realisieren vermag. Auf diesen Vermögenswert bereits heute abzustellen und mit seiner Berücksichtigung das Armenrecht zu verweigern, ist völlig unbegreiflich. d) Der Appellationshof hat auch noch auf Ziff. 7 Abs. 1 der Konvention hingewiesen. Dort verpflichtet sich der Ehemann, seiner Frau bezüglich der Aufteilung des Mobiliars, des Autowerts sowie der Weinsammlung bis spätestens zum Hauptverhandlungstermin noch Fr. 5'200.-- zu bezahlen. Es wäre dies demnach ein grundsätzlich sofort zu realisierender Vermögenswert, der "angemessen" berücksichtigt werden könnte. Die Beschwerdeführerin hält diesem Argument jedoch entgegen, sie habe dieses Geld für die Anschaffung von BGE 118 Ia 369 S. 372 nötigen Möbeln bereits aufgewendet. Diese neue Behauptung muss zugelassen werden, ist doch von diesem Geldbetrag erstmals im angefochtenen Entscheid die Rede und hatte die Beschwerdeführerin somit keinen Anlass, dazu allenfalls im kantonalen Rekursverfahren Stellung zu nehmen. Wäre es aber zutreffend, dass dieser Betrag bereits aufgebraucht ist - was erfahrungsgemäss wohl stimmen dürfte, aber zumindest hätte abgeklärt werden müssen -, so liesse er sich nicht mehr für Gerichts- und Anwaltskosten verwenden. Ausserdem ist der Ehemann lediglich verpflichtet, diesen Betrag bis zum Hauptverhandlungstermin zu bezahlen. Auch unter diesem Gesichtspunkt erweist sich daher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