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329</w:t>
      </w:r>
    </w:p>
    <w:p>
      <w:r>
        <w:t>Bundesgericht (BGE), 1991-01-01, FR</w:t>
      </w:r>
    </w:p>
    <w:p>
      <w:r>
        <w:rPr>
          <w:b/>
        </w:rPr>
        <w:t xml:space="preserve">Quelle: </w:t>
      </w:r>
      <w:r>
        <w:t>https://mcp.opencaselaw.ch/entscheid/bge_BGE_117_V_329</w:t>
      </w:r>
    </w:p>
    <w:p>
      <w:r>
        <w:t>FR: ATF 117 V 329</w:t>
      </w:r>
    </w:p>
    <w:p>
      <w:r>
        <w:t>IT: DTF 117 V 329</w:t>
      </w:r>
    </w:p>
    <w:p>
      <w:pPr>
        <w:pStyle w:val="Heading2"/>
      </w:pPr>
      <w:r>
        <w:t>Regeste</w:t>
      </w:r>
    </w:p>
    <w:p>
      <w:r>
        <w:t>Regeste Art. 6, 23, 49 Abs. 2 BVG: Invalidenleistungen. Zur versicherungsmässigen Voraussetzung für eine Invalidenrente im Bereich der obligatorischen sowie der weitergehenden Vorsorge (Erw. 3). Art. 73 Abs. 1 und 41 Abs. 1 BVG, Art. 127 und 128 OR: Verjährung. Die Klage nach Art. 73 Abs. 1 BVG unterliegt als solche keiner Befristung. Ansprüche des Mitglieds aus dem BVG oder aufgrund des Reglements der Vorsorgeeinrichtung können zufolge Zeitablaufs nur im Rahmen der Verjährung erlöschen (Erw. 4). Art. 23 BVG: Invalidenrente und intertemporales Recht. Die Zusprechung einer Invalidenrente nach BVG setzt grundsätzlich ein Altersguthaben voraus, welches erst vom 1. Januar 1985 an erworben werden konnte (Erw. 5b).</w:t>
      </w:r>
    </w:p>
    <w:p>
      <w:r>
        <w:t>Regeste Art. 6, 23, 49 al. 2 LPP: Prestation d'invalidité. De la condition d'assurance dans la prévoyance obligatoire et dans la prévoyance plus étendue s'agissant d'une rente d'invalidité (consid. 3). Art. 73 al. 1 et 41 al. 1 LPP, art. 127 et 128 CO: Prescription. L'ouverture de l'action prévue à l'art. 73 al. 1 LPP n'est soumise, comme telle, à l'observation d'aucun délai. Les prétentions qu'un affilié fonde sur la LPP ou sur le règlement de l'institution de prévoyance ne peuvent s'éteindre, par suite de l'écoulement du temps, qu'en raison de la prescription (consid. 4). Art. 23 LPP: Rente d'invalidité et droit intertemporel. L'allocation d'une rente d'invalidité en vertu de la LPP suppose, par principe, la constitution d'un avoir de vieillesse qui n'a pu être acquis qu'à partir du 1er janvier 1985 (consid. 5b).</w:t>
      </w:r>
    </w:p>
    <w:p>
      <w:r>
        <w:t>Regesto Art. 6, 23, 49 cpv. 2 LPP: Prestazioni di invalidità. Presupposto assicurativo nella previdenza obbligatoria e in quella più estesa nel caso di rendita d'invalidità (consid. 3). Art. 73 cpv. 1 e 41 cpv. 1 LPP, art. 127 e 128 CO: Prescrizione. La proposizione dell'azione giusta l'art. 73 cpv. 1 LPP non è soggetta a termine. Le pretese d'un affiliato fondate sulla legge o sul regolamento dell'istituto di previdenza non si estinguono, per decorrenza di termine, che in virtù della prescrizione (consid. 4). Art. 23 LPP: Rendita d'invalidità e diritto transitorio. L'erogazione di una rendita d'invalidità in virtù della LPP presuppone, di principio, la costituzione di un avere di vecchiaia acquisito dopo il 1o gennaio 1985 (consid. 5b).</w:t>
      </w:r>
    </w:p>
    <w:p>
      <w:pPr>
        <w:pStyle w:val="Heading2"/>
      </w:pPr>
      <w:r>
        <w:t>Erwägungen</w:t>
      </w:r>
    </w:p>
    <w:p>
      <w:r>
        <w:rPr>
          <w:b/>
        </w:rPr>
        <w:t>E. 1</w:t>
      </w:r>
    </w:p>
    <w:p>
      <w:r>
        <w:t>(Recevabilité du recours)</w:t>
      </w:r>
    </w:p>
    <w:p>
      <w:r>
        <w:rPr>
          <w:b/>
        </w:rPr>
        <w:t>E. 2</w:t>
      </w:r>
    </w:p>
    <w:p>
      <w:r>
        <w:t>Les institutions de prévoyance de droit public étant, sous l'angle de la procédure, mises sur un même pied que les institutions de droit privé, le Tribunal fédéral des assurances, saisi en vertu de l' art. 73 al. 4 LPP , examine librement l'application du droit communal et cantonal de la prévoyance professionnelle, qu'il s'agisse ou non de prestations d'assurance au sens de l' art. 132 OJ ( ATF 116 V 334 consid. 2b).</w:t>
      </w:r>
    </w:p>
    <w:p>
      <w:r>
        <w:rPr>
          <w:b/>
        </w:rPr>
        <w:t>E. 3</w:t>
      </w:r>
    </w:p>
    <w:p>
      <w:r>
        <w:t>La recourante ne prétend plus, et cela à juste titre, que l'intimé aurait perdu son droit à des prestations parce que son invalidité (au sens de la LAI) est survenue après la fin des rapports de travail (1er mars 1985). En effet, en matière de prévoyance professionnelle, les prestations d'invalidité sont dues par l'institution de prévoyance à laquelle l'intéressé est - ou était - affilié au moment de la survenance de l'événement assuré. Dans la prévoyance obligatoire, ce moment ne coïncide pas avec celui de la naissance du droit à une rente de l'assurance-invalidité selon l' art. 29 al. 1 let. b LAI (ou selon l'ancien art. 29 al. 1 LAI ), mais il correspond à la survenance de l'incapacité de travail dont la cause est à l'origine de l'invalidité, comme le précise BGE 117 V 329 S. 332 l' art. 23 LPP in fine (cf. ATF 115 V 214 ; RCC 1986 p. 525 s.). Sinon, il subsisterait, dans bien des cas, des lacunes dans la couverture d'assurance, notamment lorsque l'employeur, en raison justement de la maladie du travailleur, résilie les rapports de travail avant l'écoulement de la période de carence d'une année instituée par l' art. 29 al. 1 let. b LAI (message du Conseil fédéral à l'appui d'un projet de loi sur la prévoyance professionnelle vieillesse, survivants et invalidité, du 19 décembre 1975, FF 1976 I 201). Il n'en va pas autrement en matière de prévoyance plus étendue (prévoyance pré-obligatoire, sous-obligatoire et sur-obligatoire), où les droits des assurés en matière de prestations découlent principalement du règlement de prévoyance ( ATF 115 V 99 consid. 3b et c, 119 consid. 3c): conformément aux principes généraux il suffit également, pour que la condition d'assurance soit remplie, que l'événement assuré (invalidité au sens du règlement, décès) se soit produit avant la fin des rapports de travail. C'est ainsi que, sous l'empire de la prévoyance pré-obligatoire, le Tribunal fédéral a admis l'allocation d'une rente d'invalidité à un fonctionnaire fédéral qui avait résilié les rapports de service et qui, pendant le délai de résiliation, avait été frappé de maladie qui l'avait rendu invalide au sens des statuts de la Caisse fédérale d'assurance ( ATF 101 Ib 353 ).</w:t>
      </w:r>
    </w:p>
    <w:p>
      <w:r>
        <w:rPr>
          <w:b/>
        </w:rPr>
        <w:t>E. 4</w:t>
      </w:r>
    </w:p>
    <w:p>
      <w:r>
        <w:t>C'est avec raison, d'autre part, que les premiers juges ont écarté l'objection tirée de la tardiveté de la demande, que, du reste, la recourante ne soulève plus en procédure fédérale. Les prétentions qu'un affilié fonde sur la LPP ou sur le règlement de l'institution de prévoyance ne peuvent s'éteindre, par suite de l'écoulement du temps, qu'en raison de la prescription. L'ouverture de l'action prévue à l' art. 73 al. 1 LPP n'est, comme telle, soumise à l'observation d'aucun délai (SPIRA, Le contentieux des assurances sociales fédérales et la procédure cantonale, Recueil de jurisprudence neuchâteloise, 1984, p. 19; SCHWARZENBACH-HANHART, Die Rechtspflege nach dem BVG, SZS 1983 p. 182). Dans la prévoyance obligatoire comme dans la prévoyance plus étendue, les créances de l'affilié sont soumises à un délai de prescription de cinq ans quand elles portent sur des prestations périodiques et de dix ans dans les autres cas. Cette solution, consacrée par l' art. 41 al. 1 LPP , s'inspire directement des art. 127 et 128 CO , qui sont, quant à eux, applicables à la prévoyance plus étendue (RIEMER, Das Recht der beruf lichen Vorsorge in der Schweiz, p. 104, n. 20; message précité, FF 1976 I 219). Ainsi donc, BGE 117 V 329 S. 333 dans le cas d'une rente d'invalidité, chacun des arrérages se prescrit par cinq ans, alors que le droit de percevoir les rentes comme tel se prescrit dans le délai ordinaire de dix ans (cf. ATF 111 II 501 ). Or, en l'occurrence, le délai de dix ans n'était manifestement pas écoulé au moment où l'intimé a ouvert action devant la juridiction cantonale.</w:t>
      </w:r>
    </w:p>
    <w:p>
      <w:r>
        <w:rPr>
          <w:b/>
        </w:rPr>
        <w:t>E. 5</w:t>
      </w:r>
    </w:p>
    <w:p>
      <w:r>
        <w:t>Si l'invalidité a été causée, entretenue ou aggravée par la faute de l'assuré, le Conseil peut réduire les prestations de base jusqu'à concurrence de 50% au maximum. (...)" Aux termes de l'art. 21 des mêmes statuts: "Est invalide l'assuré qui, par suite de maladie ou d'accident, devient, avant l'âge limite inférieur, incapable de remplir totalement ou partiellement sa fonction." Cette notion de l'invalidité est plus large que celle qui résulte de la LAI: elle reconnaît comme invalide la personne qui n'est plus en mesure d'exercer la fonction remplie jusqu'alors (ou, éventuellement, une fonction analogue), tandis que l'invalidité selon la LAI représente la diminution permanente ou de longue durée, résultant d'une atteinte à la santé assurée, des possibilités de gain sur le marché du travail équilibré qui entre en ligne de compte pour l'intéressé ( ATF 109 V 23 , ATF 106 V 88 consid. 2b; VALTERIO, Droit et pratique de l'assurance-invalidité, Les prestations, p. 51 ss; RÜEDI, Invalidität, Luzerner Rechtsseminar, Lucerne 1986, VII; cf. aussi BRÜHWILER, op.cit., p. 497, n. 49). Lorsqu'une institution de prévoyance adopte une définition qui ne concorde pas avec celle de l'assurance-invalidité, elle n'est pas liée, lors de la survenance du fait assuré, par l'estimation des organes de cette assurance. Il lui appartient, au contraire, de statuer librement selon ses propres règles. Elle pourra certes se fonder, le cas échéant, sur des éléments recueillis par la commission de l'assurance-invalidité (rapports médicaux ou d'enquête économique), mais elle ne sera pas liée par une estimation qui repose sur d'autres critères ( ATF 115 V 212 consid. 2c, 220 consid. 4c). d) Implicitement, la juridiction cantonale a considéré que le prononcé de la commission de l'assurance-invalidité avait un caractère contraignant et elle n'a pas cherché à savoir si, et le cas échéant dans quelle mesure, l'intimé était invalide au sens des statuts de la CIP. Il n'est pas possible, par ailleurs, de répondre à cette question BGE 117 V 329 S. 336 sur la base des seules pièces du dossier. En conséquence, il sied de renvoyer la cause aux premiers juges pour qu'ils complètent l'instruction et statuent à nouveau sur la prétention de l'intimé. On notera à ce dernier propos que la solution du renvoi à l'institution de prévoyance, adoptée par la juridiction cantonale au chiffre III du dispositif de son jugement, n'est pas possible dans ce cas. En effet, la procédure prévue par l' art. 73 LPP n'est pas déclenchée par une décision (les institutions de prévoyance, de droit public ou de droit privé, n'étant pas habilitées à statuer au moyen d'une telle décision; ATF 115 V 224 ), mais par une simple prise de position, laquelle ne peut s'imposer qu'en vertu de la décision d'un tribunal saisi par la voie de l'action ( ATF 115 V 239 ). Or, une décision de renvoi n'a de sens que si l'autorité inférieure a le pouvoir de statuer derechef, selon les instructions de l'autorité supérieure ( ATF 115 V 243 consid. 2b; GYGI, Bundesverwaltungsrechtspflege, 2e éd., p. 232; ATF 117 V 237 ).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