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101 vom 1. Januar 1991</w:t>
      </w:r>
    </w:p>
    <w:p>
      <w:r>
        <w:t>Bundesgericht (BGE), 1991-01-01, FR</w:t>
      </w:r>
    </w:p>
    <w:p>
      <w:r>
        <w:rPr>
          <w:b/>
        </w:rPr>
        <w:t xml:space="preserve">Quelle: </w:t>
      </w:r>
      <w:r>
        <w:t>https://mcp.opencaselaw.ch/entscheid/bge_BGE_117_Ib_101</w:t>
      </w:r>
    </w:p>
    <w:p>
      <w:r>
        <w:t>FR: BGE BGE 117 Ib 101 du 1 janvier 1991</w:t>
      </w:r>
    </w:p>
    <w:p>
      <w:r>
        <w:t>IT: BGE BGE 117 Ib 101 del 1 gennaio 1991</w:t>
      </w:r>
    </w:p>
    <w:p>
      <w:pPr>
        <w:pStyle w:val="Heading2"/>
      </w:pPr>
      <w:r>
        <w:t>Regeste</w:t>
      </w:r>
    </w:p>
    <w:p>
      <w:r>
        <w:t>Regeste Ausnahmebewilligung gemäss Art. 24 RPG für den Ausbau eines Schiessstands; Einhaltung der Anforderungen der bundesrechtlichen Gesetzgebung im Bereiche des Umweltschutzes (LSV) und des Naturschutzes (Art. 18 ff. NHG). Der Einbau einer elektronischen Trefferanzeige und die Verbesserung der sanitären Einrichtungen in einem alten Schiessstand sind Modernisierungsarbeiten, die eine wesentliche Änderung im Sinne des Art. 8 LSV darstellen. Im kantonalen Verfahren wurden keine Untersuchungen über die zulässige Lärmbelastung durchgeführt. Auch eine gewissenhafte Abwägung der vorhandenen Interessen fehlt, obschon der Schiessstand sich in einer geschützten Landschaft befindet. Gutheissung der Beschwerde, da der rechtserhebliche Sachverhalt unvollständig festgestellt wurde (Art. 104 lit. b OG) (Erw. 3 und 4).</w:t>
      </w:r>
    </w:p>
    <w:p>
      <w:r>
        <w:t>Regeste Autorisation spéciale au sens de l'art. 24 LAT pour la modernisation d'un stand de tir; respect des exigences de la législation fédérale sur la protection de l'environnement (OPB) et sur la protection de la nature (art. 18 ss LPN). Les travaux de modernisation d'un ancien stand de tir, qu'on dote d'un système électronique de marquage des touchés et dont on améliore les installations sanitaires, constituent une modification notable au sens de l'art. 8 OPB. Absence, en procédure cantonale, d'investigations sur les valeurs admissibles d'exposition au bruit et d'une pesée consciencieuse des intérêts en présence, alors que le stand de tir litigieux se trouve dans un site naturel protégé. Admission du recours pour constatation incomplète des faits pertinents selon l'art. 104 let. b OJ (consid. 3 et 4).</w:t>
      </w:r>
    </w:p>
    <w:p>
      <w:r>
        <w:t>Regesto Autorizzazione eccezionale ai sensi dell'art. 24 LPT per la modernizzazione di una piazza di tiro; rispetto dei precetti della legislazione federale sulla protezione dell'ambiente (OIF) e sulla protezione della natura (art. 18 segg. LPN). I lavori di modernizzazione di una vecchia piazza di tiro che viene dotata di un sistema elettronico di rilevamento dei bersagli colpiti e i cui impianti sanitari vengono migliorati, costituiscono una modificazione sostanziale ai sensi dell'art. 8 OIF. Nella procedura cantonale non sono stati effettuati accertamenti sui valori consentiti di esposizione al rumore né un'accurata ponderazione degli opposti interessi, benché la piazza di tiro si trovi in un sito naturale protetto. Ricorso accolto, poiché i fatti giuridicamente rilevanti sono stati accertati in modo incompleto (art. 104 lett. b OG) (consid. 3 e 4).</w:t>
      </w:r>
    </w:p>
    <w:p>
      <w:pPr>
        <w:pStyle w:val="Heading2"/>
      </w:pPr>
      <w:r>
        <w:t>Erwägungen</w:t>
      </w:r>
    </w:p>
    <w:p>
      <w:r>
        <w:rPr>
          <w:b/>
        </w:rPr>
        <w:t>E. 3</w:t>
      </w:r>
    </w:p>
    <w:p>
      <w:r>
        <w:t>Les autorités cantonales partent visiblement de l'idée que les travaux d'aménagement autorisés ne tendant qu'à améliorer une situation déjà existante, l'autorisation peut être accordée sans problème tant au regard de l' art. 24 al. 2 LAT que des dispositions d'assainissement de la LPE. Pareille conclusion présuppose cependant l'établissement des valeurs actuelles d'exposition au bruit et une analyse de toutes les conséquences des travaux projetés. Une installation automatique pour le marquage des touchés accroît l'efficacité d'un stand. Pour évaluer le bruit d'une BGE 117 Ib 101 S. 104 installation de tir, il y a lieu de déterminer l'intensité d'utilisation de cette installation au cours des trois années précédentes (ch. 32 al. 3 de l'annexe 7 à l'OPB) et la nature des tirs effectués (tirs obligatoires ou exercices volontaires subventionnés par la Confédération et également tirs de compétition). La détermination des valeurs admissibles d'exposition au bruit présuppose en outre la fixation des degrés de sensibilité au sens de l' art. 43 OPB (cf. ATF 117 Ib 20 ss). En l'espèce, de telles investigations n'ont pas du tout été faites en procédure cantonale. Ce n'est que devant le Tribunal fédéral que des indications ont été apportées quant à la nature et au nombre des séances de tir et qu'un calcul du bruit du stand par l'Officier fédéral de tir a été produit, dont les recourants contestent d'ailleurs l'exactitude. Il n'appartient pas au Tribunal fédéral de procéder, pour ainsi dire en première instance, à l'établissement correct des faits pertinents, ce d'autant moins qu'il doit faire preuve de retenue dans l'appréciation des circonstances locales. Les recourants ont par ailleurs fait valoir, en instance cantonale déjà, qu'en 1983 la société de tir intimée avait aménagé une place de parc sans autorisation. Dans sa détermination du 3 mai 1991, le Conseil d'Etat admet qu'il en a bien été ainsi. Des éclaircissements à cet égard auraient néanmoins dû être apportés également en procédure cantonale. S'il était vrai que, sous l'empire de la LAT, une place de parc avait bel et bien été aménagée sans autorisation en zone de protection - ce qui est en principe inadmissible (cf. ATF 115 Ib 508 ) - la question de l'autorisation selon l' art. 24 LAT se devait alors d'être élucidée en tout cas au moment de la demande de modernisation ultérieure. Toutes ces insuffisances dans les constatations de fait commandent, à elles seules déjà, d'admettre le recours.</w:t>
      </w:r>
    </w:p>
    <w:p>
      <w:r>
        <w:rPr>
          <w:b/>
        </w:rPr>
        <w:t>E. 4</w:t>
      </w:r>
    </w:p>
    <w:p>
      <w:r>
        <w:t>Sur le fond, il faut constater tout d'abord que les travaux de modernisation d'un ancien stand de tir, qu'on dote d'un système électronique de marquage des touchés et dont on améliore les installations sanitaires, constituent une modification notable au sens de l' art. 8 OPB ; à plus forte raison, si la place de parc en zone de protection devait être autorisée après coup. On note en outre, s'agissant du problème de la protection des hauts-marais, que l'arrêté attaqué omet de peser consciencieusement les intérêts en présence. Le Conseil d'Etat se réfère simplement à la prise de position favorable de la Commission cantonale pour la protection de la nature et du paysage, qui n'est arrivée à ce pronostic positif BGE 117 Ib 101 S. 105 qu'après reconsidération d'un premier préavis négatif. On relève enfin que pour pouvoir autoriser les modifications sollicitées, il faut encore fixer, au cours d'une procédure irréprochable, les degrés de sensibilité au sens de l' art. 43 OPB (cf. ATF 117 Ib 20 ss). L'omission d'une telle opération en l'espèce ne peut conduire, elle aussi, qu'à l'admission du recours. S'il devait résulter des mesures d'instruction complémentaires qu'il faille accorder, au terme d'une pesée correcte des intérêts en présence, l'autorisation exceptionnelle requise, celle-ci devrait être assortie des charges et conditions nécessaires, qu'il conviendrait d'énoncer avec précision. A cet égard, les réserves générales formulées par la Direction des travaux publics ne sont pas suffisantes. Il faudrait bien plutôt fixer impérativement le nombre maximum admissible de demi-journées de tir, tout en veillant à ce que les valeurs limites d'immission ne puissent pas être dépassées, si les installations devaient aussi être utilisées pour du tir de compétition (cf. ATF 117 Ib 20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