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69 vom 1. Januar 1991</w:t>
      </w:r>
    </w:p>
    <w:p>
      <w:r>
        <w:t>Bundesgericht (BGE), 1991-01-01, DE</w:t>
      </w:r>
    </w:p>
    <w:p>
      <w:r>
        <w:rPr>
          <w:b/>
        </w:rPr>
        <w:t xml:space="preserve">Quelle: </w:t>
      </w:r>
      <w:r>
        <w:t>https://mcp.opencaselaw.ch/entscheid/bge_BGE_117_Ia_69</w:t>
      </w:r>
    </w:p>
    <w:p>
      <w:r>
        <w:t>FR: BGE BGE 117 Ia 69 du 1 janvier 1991</w:t>
      </w:r>
    </w:p>
    <w:p>
      <w:r>
        <w:t>IT: BGE BGE 117 Ia 69 del 1 gennaio 1991</w:t>
      </w:r>
    </w:p>
    <w:p>
      <w:pPr>
        <w:pStyle w:val="Heading2"/>
      </w:pPr>
      <w:r>
        <w:t>Regeste</w:t>
      </w:r>
    </w:p>
    <w:p>
      <w:r>
        <w:t>Regeste Persönliche Freiheit; Art. 5 Ziff. 1 EMRK. Haftentlassung. Fluchtgefahr. Die Höhe der zu erwartenden Strafe vermag für sich allein den besonderen Haftgrund der Fluchtgefahr nicht zu rechtfertigen. Im vorliegenden Fall genügen die psychische Labilität der Angeklagten und die zu erwartende Strafe für die Aufrechterhaltung der Sicherheitshaft nicht.</w:t>
      </w:r>
    </w:p>
    <w:p>
      <w:r>
        <w:t>Regeste Liberté personnelle; art. 5 par. 1 CEDH. Fin de la détention provisoire. Risque de fuite. La quotité de la peine encourue ne fonde pas, à elle seule, le motif spécial de détention lié au risque de fuite. Dans le cas d'espèce, le déséquilibre psychique de l'accusée et la peine encourue ne suffisent pas à justifier le maintien de la détention.</w:t>
      </w:r>
    </w:p>
    <w:p>
      <w:r>
        <w:t>Regesto Libertà personale; art. 5 n. 1 CEDU. Concessione della libertà provvisoria. Pericolo di fuga. La gravità della pena che sarà presumibilmente inflitta non basta, da sola, a concretizzare il motivo speciale di carcerazione costituito dal pericolo di fuga. Nella fattispecie, la labilità psichica della persona imputata e la pena che presumibilmente sarà inflitta nei suoi confronti non sono sufficienti a giustificare la carcerazione per ragioni di sicurezza.</w:t>
      </w:r>
    </w:p>
    <w:p>
      <w:pPr>
        <w:pStyle w:val="Heading2"/>
      </w:pPr>
      <w:r>
        <w:t>Erwägungen</w:t>
      </w:r>
    </w:p>
    <w:p>
      <w:r>
        <w:rPr>
          <w:b/>
        </w:rPr>
        <w:t>E. 4</w:t>
      </w:r>
    </w:p>
    <w:p>
      <w:r>
        <w:t>Gemäss § 49 in Verbindung mit § 52 der zürcherischen Strafprozessordnung darf Sicherheitshaft angeordnet oder aufrechterhalten werden, wenn der Angeklagte eines Verbrechens oder Vergehens dringend verdächtig ist und überdies entweder Kollusions- oder Fluchtgefahr vorliegt. Die Beschwerdeführerin beanstandet nicht, dass die kantonale Instanz den dringenden Tatverdacht bejaht hat. Hingegen macht sie geltend, das Obergericht habe in verfassungs- und konventionswidriger Weise angenommen, es bestehe Fluchtgefahr. a) Nach der Rechtsprechung des Bundesgerichtes, die mit jener des Europäischen Gerichtshofes für Menschenrechte übereinstimmt, braucht es für die Annahme der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Angeschuldigten, in Betracht gezogen werden ( BGE 108 Ia 67 E. 3; BGE 107 Ia 6 E. 5; BGE 106 Ia 407 E. 4c; BGE 102 Ia 381 ; BGE 95 I 242 ). Die Erwägung des Obergerichtes, wonach die vorliegend mögliche Zuchthausstrafe von nicht unter fünf Jahren ( Art. 111 StGB ) "an sich schon" die Annahme der Fluchtgefahr rechtfertige, widerspricht krass der erwähnten Bundesgerichtspraxis und ist als verfassungswidrig zu beurteilen. BGE 117 Ia 69 S. 71 b) Es fragt sich, ob ausser der Höhe der drohenden Strafe konkrete Umstände vorliegen, welche die Annahme der Fluchtgefahr rechtfertigen. Das Gutachten der Kantonalen Psychiatrischen Klinik Rheinau vom 24. Oktober 1990 attestiert der Beschwerdeführerin eine erhebliche Neigung zu Affekt- und Impulsdurchbrüchen aggressiver und autoaggressiver Art. Mit Recht kann daher von einer zumindest latenten psychischen Labilität der Beschwerdeführerin gesprochen werden. - Das psychiatrische Gutachten lässt demgegenüber den Schluss nicht zu, die festgestellte psychische Konstitution wirke sich im vorliegenden Fall in einer erhöhten Fluchtbereitschaft aus: Der Experte weist besonders darauf hin, dass sich die Neigung zu affektiven und impulsiven Handlungen dann manifestiere, wenn eine soziale Bindung zerreisst oder zu zerreissen droht. Die Beschwerdeführerin engagiere sich in ihren familiären Beziehungen mit derartiger Hilfs- und Aufopferungsbereitschaft, dass Trennungs- und Verlassungserlebnisse zwangsweise eine Flut von Emotionen, Affekten und Triebstrebungen nach sich zögen. Gerade mit ihren beiden (zehn- bzw. dreizehnjährigen) Kindern verbindet die Beschwerdeführerin auf Grund der aktenkundigen Untersuchungsergebnisse eine innige Beziehung, welche von grossem Einsatz und von Fürsorge, nicht zuletzt gegenüber der POS-kranken Tochter X., zeugt. Besonders die Zuwendung zu ihren Kindern hilft der Beschwerdeführerin gemäss Expertise, im seelischen Gleichgewicht zu bleiben. Damit erscheint der psychiatrische Befund aber gerade nicht geeignet, zusätzliche konkrete Anzeichen für eine Fluchtgefahr zu begründen. - Es weist gerade nichts darauf hin, dass die Beschwerdeführerin, einmal aus der Sicherheitshaft entlassen, sich ausgerechnet die Möglichkeit verbauen sollte, den Kontakt mit ihren bei ihrer Schwester untergebrachten Kindern pflegen zu können; genau dies wäre aber die Konsequenz einer Flucht der Beschwerdeführerin ins Ausland oder auch nur eines "Untertauchens", wie es die kantonale Instanz befürchtet. Aus dem Gesagten ergibt sich, dass die angeordnete Sicherheitshaft allein gestützt auf die Höhe der in Frage kommenden Freiheitsstrafe nicht aufrechterhalten werden kann. Wie die kantonale Instanz ausdrücklich festgehalten hat, liegt nach Abschluss der Untersuchung und Anklageerhebung sowie angesichts der Geständigkeit der Beschwerdeführerin ebensowenig Kollusionsgefahr vor. Diese Auffassung muss zwar angesichts des im Verfahren vor Geschworenengericht geltenden Unmittelbarkeitsprinzips und der BGE 117 Ia 69 S. 72 damit verbundenen Gefahr einer Einflussnahme auf die Geschworenen auf gewisse Bedenken stossen, das Bundesgericht hat indessen keine Veranlassung, vorliegend entgegen der Auffassung beider Parteien von sich aus auf Kollusionsgefahr zu schliessen (vgl. zur bundesgerichtlichen Zurückhaltung bei der Substitution von Motiven etwa BGE 106 Ia 315 E. 1b). In der Konsequenz gebietet das Verfassungsrecht in diesem speziellen Haftfall, der durchaus als Grenzfall zu betrachten ist, die Beschwerdeführerin aus der Sicherheitshaft zu entlassen und dem Fluchtrisiko mit weniger einschneidenden Massnahmen (Meldepflicht, Pass- und Schriftensperre) zu begegnen.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