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393 vom 1. Januar 1991</w:t>
      </w:r>
    </w:p>
    <w:p>
      <w:r>
        <w:t>Bundesgericht (BGE), 1991-01-01, DE</w:t>
      </w:r>
    </w:p>
    <w:p>
      <w:r>
        <w:rPr>
          <w:b/>
        </w:rPr>
        <w:t xml:space="preserve">Quelle: </w:t>
      </w:r>
      <w:r>
        <w:t>https://mcp.opencaselaw.ch/entscheid/bge_BGE_117_Ia_393</w:t>
      </w:r>
    </w:p>
    <w:p>
      <w:r>
        <w:t>FR: BGE BGE 117 Ia 393 du 1 janvier 1991</w:t>
      </w:r>
    </w:p>
    <w:p>
      <w:r>
        <w:t>IT: BGE BGE 117 Ia 393 del 1 gennaio 1991</w:t>
      </w:r>
    </w:p>
    <w:p>
      <w:pPr>
        <w:pStyle w:val="Heading2"/>
      </w:pPr>
      <w:r>
        <w:t>Regeste</w:t>
      </w:r>
    </w:p>
    <w:p>
      <w:r>
        <w:t>Regeste 1. Art. 86 f. OG. Letztinstanzlichkeit des angefochtenen Entscheides. Ob der Entscheid einer unteren kantonalen Instanz neben dem letztinstanzlichen Entscheid im staatsrechtlichen Beschwerdeverfahren mitangefochten werden kann, hängt von der Überprüfungsbefugnis der letzten kantonalen Rechtsmittelinstanz ab (E. 1b). 2. Art. 90 Abs. 1 lit. b OG. Anforderungen an die Substantiierung einer staatsrechtlichen Beschwerde (E. 1c).</w:t>
      </w:r>
    </w:p>
    <w:p>
      <w:r>
        <w:t>Regeste 1. Art. 86 s. OJ. Recours contre une décision prise en dernière instance. Un recours de droit public peut, à certaines conditions, être dirigé simultanément contre la décision prise en dernière instance cantonale et contre celle de l'autorité cantonale inférieure: cela dépend du pouvoir d'examen de l'autorité cantonale de dernière instance (consid. 1b). 2. Art. 90 al. 1 let. b OJ. Exigences quant à la motivation d'un recours de droit public (consid. 1c).</w:t>
      </w:r>
    </w:p>
    <w:p>
      <w:r>
        <w:t>Regesto 1. Art. 86 seg. OG. Ricorso contro una decisione emanata in ultima istanza. Dipende dal potere d'esame dell'autorità cantonale di ultima istanza se un ricorso di diritto pubblico possa essere diretto simultaneamente contro la decisione di tale autorità e contro quella dell'autorità cantonale inferiore (consid. 1b). 2. Art. 90 cpv. 1 lett. b OG. Requisiti relativi alla motivazione di un ricorso di diritto pubblico (consid. 1c).</w:t>
      </w:r>
    </w:p>
    <w:p>
      <w:pPr>
        <w:pStyle w:val="Heading2"/>
      </w:pPr>
      <w:r>
        <w:t>Erwägungen</w:t>
      </w:r>
    </w:p>
    <w:p>
      <w:r>
        <w:rPr>
          <w:b/>
        </w:rPr>
        <w:t>E. 1</w:t>
      </w:r>
    </w:p>
    <w:p>
      <w:r>
        <w:t>a) Das Bundesgericht prüft die Zulässigkeit der staatsrechtlichen Beschwerde von Amtes wegen und mit freier Kognition ( BGE 116 Ia 79 E. 1; BGE 114 Ia 81 E. 1, 223 E. 1b, 462 E. 1). b) Die vorliegende Beschwerde richtet sich sowohl gegen das Urteil des Kassationsgerichtes des Kantons Zürich vom 10. Oktober 1990 als auch gegen das Urteil des Obergerichtes des Kantons Zürich vom 5. September 1989. Mit der staatsrechtlichen Beschwerde kann - von hier nicht zutreffenden Ausnahmen abgesehen - nur ein letztinstanzlicher kantonaler Entscheid angefochten werden (Art. 86 f. OG). Der Entscheid einer unteren Instanz kann dann mitangefochten werden, wenn die letzte kantonale Rechtsmittelinstanz nicht alle Fragen, die Gegenstand der staatsrechtlichen Beschwerde bilden, beurteilen konnte, oder wenn sie die Rügen nur mit einer engeren Kognition, als sie dem Bundesgericht zukommt, zu überprüfen befugt war. In solchen Fällen kann ausnahmsweise auch das vorangegangene kantonale Sachurteil mitangefochten werden. War jedoch die Überprüfungsbefugnis der letzten kantonalen Behörde nicht beschränkter als diejenige des Bundesgerichtes im Verfahren der staatsrechtlichen Beschwerde, so kann sich die Beschwerde nur BGE 117 Ia 393 S. 395 gegen den letzten kantonalen Entscheid richten ( BGE 115 Ia 414 f.; BGE 114 Ia 311 E. 3a mit Hinweisen). aa) Die Kognition, über die das Kassationsgericht bei der Beurteilung der Nichtigkeitsbeschwerde gemäss § 281 ff. ZPO /ZH verfügte, war nicht eingeschränkter als die Überprüfungsbefugnis, die dem Bundesgericht bei Entscheid über die Rüge der Verletzung von Art. 4 BV zukommt (vgl. STRÄULI/MESSMER, Kommentar zur zürcherischen Zivilprozessordnung, 2. Aufl., Zürich 1982, N 45 f. zu § 281; OSCAR VOGEL, Grundriss des Zivilprozessrechts, 2. Aufl., Bern 1988, S. 290 f.). Soweit mit der staatsrechtlichen Beschwerde auch das Urteil des Obergerichtes als gegen Art. 4 BV verstossend gerügt wird, kann daher nicht darauf eingetreten werden. bb) Demgegenüber überprüft das Bundesgericht die Anwendung von kantonalem Verfassungsrecht grundsätzlich frei ( BGE 114 Ia 170 E. 2b; BGE 112 Ia 342 E. 2 mit Hinweisen); ebenso besteht freie Kognition bei der Beurteilung von schwerwiegenden Eingriffen in die persönliche Freiheit ( BGE 114 Ia 283 E. 3; BGE 112 Ia 162 f. E. 3a mit Hinweisen). Soweit der Beschwerdeführer geltend macht, die kantonalen Instanzen hätten das Recht auf persönliche Freiheit, Art. 7 KV/ZH sowie Art. 3 und 5 EMRK verletzt, reicht die Kognition des Bundesgerichtes somit weiter als diejenige des Kassationsgerichtes, war doch bei der Beurteilung der kantonalen Nichtigkeitsbeschwerde lediglich zu prüfen, ob die Vorinstanz gegen "klares materielles Recht" verstossen hatte ( § 281 Ziff. 3 ZPO ). Insofern könnte das Urteil des Obergerichtes mitangefochten werden. Dem Eintreten auf die genannten Rügen stehen jedoch die nachfolgenden Gründe entgegen (E. 1c). c) Weil das staatsrechtliche Beschwerdeverfahren nicht das vorangegangene kantonale Verfahren weiterführt, sondern als ausserordentliches Rechtsmittel ein selbständiges staatsgerichtliches Verfahren darstellt, das der Kontrolle kantonaler Hoheitsakte unter dem spezifischen Aspekt ihrer Verfassungsmässigkeit dient, prüft das Bundesgericht nur klar und detailliert erhobene Rügen ( BGE 115 Ia 14 E. 2b, 30 und 100 E. 5a). Zur tatsächlichen und rechtlichen Substantiierung von staatsrechtlichen Beschwerden hat der Beschwerdeführer gemäss Art. 90 Abs. 1 lit. b OG ausser dem wesentlichen Sachverhalt nicht nur die als verletzt behaupteten Rechtssätze zu nennen, sondern auch darzulegen, inwiefern diese Rechtssätze bzw. Rechte verletzt sein sollen ( BGE 115 Ia 14 E. 2; BGE 110 Ia 3 E. 2a). BGE 117 Ia 393 S. 396 Diesen gesetzlichen Anforderungen vermag die Beschwerde nicht in allen Teilen zu genügen. Namentlich setzt sich der Beschwerdeführer mit der von ihm angerufenen verfassungsmässigen Garantie der persönlichen Freiheit bzw. mit Art. 3 und 5 EMRK und den Bestimmungen von Art. 7 KV/ZH sowie Art. 5 Ziff. 5 EMRK , welche bei rechtswidriger Festnahme einen Anspruch auf Schadenersatz und Genugtuung gewährleisten, nicht in einer den genannten Anforderungen genügenden Form auseinander. Er legt nicht dar, inwiefern die kantonalen Instanzen mit der - in erster Linie aus Beweisgründen erfolgten - Klageabweisung gegen die erwähnten verfassungsmässigen Individualrechte verstossen haben sollen. Mit Bezug auf jene Rügen kann daher auf die Beschwerde nicht eingetreten werden. Wie aus den nachfolgenden Erwägungen ergeht, wäre die Beschwerde aber insoweit ohnehin unbegründet. Das Kassationsgericht ist nämlich ohne Verletzung von Art. 4 BV zum Schluss gekommen, dass die Verhaftung des Beschwerdeführers rechtmässig erfolgt sei und dass die von ihm behaupteten massiven Übergriffe durch Polizeibeamte nicht rechtsgenüglich bewiesen seien. Damit erwiese sich selbst bei Eintreten auf die entsprechenden Rügen der Vorwurf der Verletzung der persönlichen Freiheit und des Folterverbotes als ebenso unbegründet wie der Anspruch des Beschwerdeführers auf Schadenersatz und Genugtuung. d) Die übrigen Sachurteilsvoraussetzungen sind erfüllt und brauchen nicht weiter erörtert zu werden. Auf die Beschwerde ist daher im aufgezeigten Umfang - nämlich hinsichtlich der Rügen der Verletzung von Art. 4 BV durch das Urteil des Kassationsgerichtes -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