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251 vom 1. Januar 1991</w:t>
      </w:r>
    </w:p>
    <w:p>
      <w:r>
        <w:t>Bundesgericht (BGE), 1991-01-01, DE</w:t>
      </w:r>
    </w:p>
    <w:p>
      <w:r>
        <w:rPr>
          <w:b/>
        </w:rPr>
        <w:t xml:space="preserve">Quelle: </w:t>
      </w:r>
      <w:r>
        <w:t>https://mcp.opencaselaw.ch/entscheid/bge_BGE_117_Ia_251</w:t>
      </w:r>
    </w:p>
    <w:p>
      <w:r>
        <w:t>FR: BGE BGE 117 Ia 251 du 1 janvier 1991</w:t>
      </w:r>
    </w:p>
    <w:p>
      <w:r>
        <w:t>IT: BGE BGE 117 Ia 251 del 1 gennaio 1991</w:t>
      </w:r>
    </w:p>
    <w:p>
      <w:pPr>
        <w:pStyle w:val="Heading2"/>
      </w:pPr>
      <w:r>
        <w:t>Regeste</w:t>
      </w:r>
    </w:p>
    <w:p>
      <w:r>
        <w:t>Regeste Art. 87 OG; Beschwerde gegen einen Zwischenentscheid. Art. 87 OG kommt selbst dann zur Anwendung, wenn ein Zwischenentscheid nur in bezug auf die Kosten- und Entschädigungsfolgen angefochten wird (E. 1a). Der Umstand, dass über die Kosten- und Entschädigungsfolgen des letztinstanzlichen Rückweisungsentscheides im neuen kantonalen Verfahren nicht mehr entschieden werden kann, stellt keinen nicht wiedergutzumachenden Nachteil dar; dieser Kostenentscheid kann im Anschluss an das neue kantonale Urteil mit staatsrechtlicher Beschwerde angefochten werden, gegebenenfalls direkt nach einem unterinstanzlichen Entscheid (E. 1b).</w:t>
      </w:r>
    </w:p>
    <w:p>
      <w:r>
        <w:t>Regeste Art. 87 OJ; recours contre une décision incidente. L'art. 87 OJ est aussi applicable lorsqu'une décision incidente n'est contestée que sur les frais et dépens (consid. 1a). Le fait que la question des frais et dépens d'une décision de renvoi prise en dernière instance ne puisse plus faire l'objet d'une décision dans la nouvelle procédure cantonale n'engendre pas un dommage irréparable. Ce prononcé sur les frais peut être attaqué par la voie du recours de droit public en même temps que la nouvelle décision cantonale; le cas échéant, le recours peut être formé directement contre une décision de première instance (consid. 1b).</w:t>
      </w:r>
    </w:p>
    <w:p>
      <w:r>
        <w:t>Regesto Art. 87 OG; ricorso contro una decisione incidentale. L'art. 87 OG è applicabile anche laddove una decisione incidentale sia impugnata solo per quanto concerne le spese e le ripetibili (consid. 1a). Il fatto che la questione relativa alle spese e ripetibili di una decisione di rinvio pronunciata in ultima istanza non possa più costituire l'oggetto di una decisione nella nuova procedura cantonale non comporta un danno irreparabile. La decisione sulle spese può essere impugnata mediante ricorso di diritto pubblico insieme con la nuova decisione cantonale; dandosene il caso, il ricorso può essere proposto direttamente contro una decisione di prima istanza (consid. 1b).</w:t>
      </w:r>
    </w:p>
    <w:p>
      <w:pPr>
        <w:pStyle w:val="Heading2"/>
      </w:pPr>
      <w:r>
        <w:t>Erwägungen</w:t>
      </w:r>
    </w:p>
    <w:p>
      <w:r>
        <w:rPr>
          <w:b/>
        </w:rPr>
        <w:t>E. 1</w:t>
      </w:r>
    </w:p>
    <w:p>
      <w:r>
        <w:t>Das Bundesgericht prüft die Zulässigkeit einer staatsrechtlichen Beschwerde von Amtes wegen und mit freier Kognition ( BGE 116 Ia 317 , 79 mit Hinweis). BGE 117 Ia 251 S. 253 Beim angefochtenen Entscheid handelt es sich um einen kantonal letztinstanzlichen Entscheid im Rahmen eines Strafverfahrens. Der Beschwerdeführer rügt einzig eine Verletzung von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a) Endentscheid im Sinne von Art. 87 OG ist jeder Entscheid, der ein Verfahren vorbehältlich der Weiterziehung an eine höhere Instanz abschliesst, sei es durch einen Entscheid in der Sache selber, sei es aus prozessualen Gründen. Als Zwischenentscheide gelten dagegen jene Entscheide, die das Verfahren nicht abschliessen, sondern bloss einen Schritt auf dem Weg zum Endentscheid darstellen ( BGE 116 Ia 43 ; BGE 115 Ia 317 , je mit Heinweisen). Im vorliegenden Fall hat die Justizkommission des Obergerichts die Beschwerde der P. AG gutgeheissen, den Einstellungsbeschluss aufgehoben und die Sache zur Fortsetzung der Strafuntersuchung gegen den Beschwerdeführer dem Verhöramt zurückgewiesen. Das kantonale Verfahren ist demnach noch nicht abgeschlossen; vielmehr wird das Verhöramt nochmals zu entscheiden haben. Rückweisungsentscheide sind aber nach ständiger Praxis des Bundesgerichts Zwischenentscheide ( BGE 116 Ia 43 ; BGE 106 Ia 228 , je mit Hinweisen). Daran ändert nichts, dass der Beschwerdeführer die Beschwerdelegitimation der P. AG im kantonalen Verfahren anficht. Die staatsrechtliche Beschwerde richtet sich nicht nur gegen den Rückweisungsentscheid an sich, sondern auch gegen die von der Justizkommission beschlossene Parteientschädigung, die der Beschwerdeführer der P. AG für das kantonale Beschwerdeverfahren zu bezahlen hat. Das Bundesgericht hat in seiner neueren Rechtsprechung festgehalten, dass Art. 87 OG auch dann zur Anwendung kommt, wenn ein Zwischenentscheid in bezug auf die Kosten- und Entschädigungsfolgen angefochten ist (unveröffentlichte Urteile vom 7. Mai 1991 i.S. H.; vom 22. November 1990 i.S. St., E. Ia; vom 4. Oktober 1990 i.S. F., E. 1 und vom 29. Mai 1990 i.S. M., E. 3). Zu prüfen ist daher, ob der angefochtene Entscheid für den Beschwerdeführer einen nicht wiedergutzumachenden Nachteil zur Folge hat. b) Nach ständiger Rechtsprechung des Bundesgerichts bedarf es eines Nachteils rechtlicher Natur; eine bloss tatsächliche Beeinträchtigung BGE 117 Ia 251 S. 254 wie beispielsweise die Verlängerung oder Verteuerung des Verfahrens genügt nicht. Der Nachteil ist nur dann rechtlicher Natur, wenn er auch durch einen für den Beschwerdeführer günstigen Endentscheid nicht mehr behoben werden könnte ( BGE 115 Ia 314 E. c; BGE 108 Ia 104 ). Dabei ist es nicht nötig, dass sich der Nachteil schon im kantonalen Verfahren durch einen günstigen Endentscheid beheben lässt. Es genügt, wenn er in einem anschliessenden bundesgerichtlichen Verfahren beseitigt werden kann ( BGE 116 Ia 445 E. 1b). An dieser Voraussetzung fehlt es im vorliegenden Fall. Dem Beschwerdeführer steht gegen den kantonalen Endentscheid in der Hauptsache wiederum die staatsrechtliche Beschwerde offen, mit welcher er die heute erhobenen Rügen hinsichtlich der Beschwerdelegitimation der P. AG im kantonalen Verfahren nochmals vorbringen kann. In bezug auf die der P. AG zugesprochene Parteientschädigung ist zwar einzuräumen, dass die unteren kantonalen Instanzen darüber nicht mehr befinden können. Indessen wird der Beschwerdeführer zusammen mit der staatsrechtlichen Beschwerde in der Hauptsache auch noch den Zwischenentscheid vom 8. November 1990 mitanfechten können ( BGE 106 Ia 234 ). Obwohl nicht zu verkennen ist, dass über die Parteientschädigung an die P. AG im kantonalen Verfahren endgültig entschieden wurde, besteht kein Grund, vom Erfordernis des Art. 87 OG eine Ausnahme zu machen. Das Bundesgericht hat bereits im Entscheid BGE 106 Ia 229 ff. festgehalten, dass Gründe der Prozessökonomie zum Erlass des Art. 87 OG geführt haben. Mit dieser Bestimmung sollte das Bundesgericht entlastet werden. Es soll sich als Staatsgerichtshof im Rahmen einer Beschwerde wegen Verletzung von Art. 4 BV in der Regel nur einmal mit einem Prozess befassen müssen (BGE BGE 106 Ia 235 E. 3d mit Hinweisen). Diese Forderung hat seit dem Inkrafttreten des heute geltenden Organisationsgesetzes von 1943 nichts an Aktualität eingebüsst. Die notorische Überlastung des Bundesgerichts gebietet vielmehr, am dargelegten Grundsatz festzuhalten ( BGE 106 Ia 235 E. 3d). Es fragt sich indessen, ob diese Rechtsprechung dem Beschwerdeführer hinsichtlich der beanstandeten Parteientschädigung im vorliegenden Fall nicht doch zum Nachteil gereichen könnte. Dies wäre zum Beispiel denkbar, wenn eine der kantonalen Instanzen voll zu seinen Gunsten entscheiden, wenn das kantonale Verfahren zufolge Gegenstandslosigkeit oder Rückzugs des Rechtsmittels als erledigt erklärt oder wenn das Strafverfahren eingestellt würde. BGE 117 Ia 251 S. 255 Der Beschwerdeführer könnte dann gegen den Sach- resp. Prozessentscheid mangels Rechtsschutzinteresses keine weiteren Rechtsmittel ergreifen, somit auch den Zwischenentscheid nicht mehr mitanfechten. Dieser Umstand ist jedoch für das vorliegende Verfahren nicht von Belang. Nach ständiger Rechtsprechung des Bundesgerichts kann ein Betroffener gegen den Kostenentscheid staatsrechtliche Beschwerde führen, auch wenn ihm die Legitimation zur Anfechtung des Hauptentscheides fehlt; denn durch den Kostenentscheid (Gerichts- und/oder Parteikosten) wird er persönlich und unmittelbar in seinen Interessen betroffen ( BGE 109 Ia 91 ; BGE 100 Ia 298 E. 4). Daher könnte der Beschwerdeführer im Anschluss an das neue kantonale Urteil staatsrechtliche Beschwerde erheben, gegebenenfalls direkt nach einem unterinstanzlichen Entscheid (vgl. BGE 106 Ia 236 ). Diese hätte sich allenfalls ausschliesslich gegen die im Zwischenentscheid vom 8. November 1990 der P. AG zugesprochene Parteientschädigung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