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349</w:t>
      </w:r>
    </w:p>
    <w:p>
      <w:r>
        <w:t>Bundesgericht (BGE), 1991-01-01, DE</w:t>
      </w:r>
    </w:p>
    <w:p>
      <w:r>
        <w:rPr>
          <w:b/>
        </w:rPr>
        <w:t xml:space="preserve">Quelle: </w:t>
      </w:r>
      <w:r>
        <w:t>https://mcp.opencaselaw.ch/entscheid/bge_BGE_117_IV_349</w:t>
      </w:r>
    </w:p>
    <w:p>
      <w:r>
        <w:t>FR: ATF 117 IV 349</w:t>
      </w:r>
    </w:p>
    <w:p>
      <w:r>
        <w:t>IT: DTF 117 IV 349</w:t>
      </w:r>
    </w:p>
    <w:p>
      <w:pPr>
        <w:pStyle w:val="Heading2"/>
      </w:pPr>
      <w:r>
        <w:t>Regeste</w:t>
      </w:r>
    </w:p>
    <w:p>
      <w:r>
        <w:t>Regeste Art. 1, Art. 3, Art. 17 Abs. 1, Art. 18 Abs. 1, Art. 20 Abs. 2, Art. 42 Ziff. 1, Art. 43 Abs. 1, Art. 46 Abs. 2 TVG; Art. 4-4c der Verordnung (3) des Bundesrates zum Telegrafen- und Telefonverkehrsgesetz (Telefonordnung, SR 784.103); Art. 2 der Verordnung des EVED über den Exportnachweis nicht genehmigter Sprechapparate (SR 784.103.2). Die Einschränkung des privaten Handels mit technisch nicht genehmigten Sprechapparaten durch Statuierung einer Exportnachweispflicht gemäss der bundesrätlichen Telefonordnung und der vom EVED gestützt darauf erlassenen Exportnachweisverordnung ist gesetzwidrig.</w:t>
      </w:r>
    </w:p>
    <w:p>
      <w:r>
        <w:t>Regeste Art. 1, art. 3, art. 17 al. 1, art. 18 al. 1, art. 20 al. 2, art. 42 ch. 1, art. 43 al. 1, art. 46 al. 2 LCTT; art. 4-4c de l'ordonnance (3) du Conseil fédéral relative à la loi réglant la correspondance télégraphique et téléphonique (RS 784.103); art. 2 de l'ordonnance du DFTCE concernant la preuve de l'exportation des postes téléphoniques non agréés (RS 784.103.2). Restreindre le commerce privé d'appareils téléphoniques non agréés en exigeant la preuve de l'exportation en application de l'ordonnance sur les téléphones et de l'ordonnance concernant la preuve de l'exportation - rendue par le DFTCE en exécution de celle-ci - est contraire à la loi.</w:t>
      </w:r>
    </w:p>
    <w:p>
      <w:r>
        <w:t>Regesto Art. 1, art. 3, art. 17 cpv. 1, art. 18 cpv. 1, art. 20 cpv. 2, art. 42 n. 1, art. 43 cpv. 1, art. 46 cpv. 2 LCTT; art. 4-4c dell'ordinanza (3) del Consiglio federale relativa alla legge federale sulla corrispondenza telegrafica e telefonica (ordinamento telefonico, RS 784.103); art. 2 dell'ordinanza del DFTCE concernente la prova di esportazione per apparecchi telefonici non approvati (RS 784.103.2). È contrario alla legge restringere il commercio privato di apparecchi telefonici non approvati, esigendo la prova dell'esportazione in applicazione dell'ordinamento telefonico emanato dal Consiglio federale e dell'ordinanza, su di esso fondata, che è stata adottata dal DFTCE.</w:t>
      </w:r>
    </w:p>
    <w:p>
      <w:pPr>
        <w:pStyle w:val="Heading2"/>
      </w:pPr>
      <w:r>
        <w:t>Erwägungen</w:t>
      </w:r>
    </w:p>
    <w:p>
      <w:r>
        <w:rPr>
          <w:b/>
        </w:rPr>
        <w:t>E. 2</w:t>
      </w:r>
    </w:p>
    <w:p>
      <w:r>
        <w:t>Das Post- und Telegrafenwesen ist gemäss Art. 36 Abs. 1 BV im ganzen Umfang der Eidgenossenschaft Bundessache. Die PTT-Betriebe haben das ausschliessliche Recht, Sende- und Empfangseinrichtungen sowie Anlagen jeder Art, die der elektrischen oder radioelektrischen Zeichen-, Bild- oder Lautübertragung dienen, zu erstellen und zu betreiben ( Art. 1 TVG ). Zur Erstellung und zum Betrieb von Einrichtungen für elektrische und radioelektrische Zeichen-, Bild- und Lautübertragung können Konzessionen erteilt werden ( Art. 3 TVG ). Die PTT-Betriebe bewilligen Anschlüsse an ein bestehendes Telefonnetz, sofern ihnen die Errichtung und Verbindung der verlangten Stationen und allfälliger Zusatzeinrichtungen auf den Grundstücken des Bewerbers ungehindert und unentgeltlich gestattet wird ( Art. 17 Abs. 1 TVG ). Die PTT-Betriebe beziehen für die Erstellung und den Unterhalt der Anschlussleitung zwischen der Zentrale und dem Gebäude, worin die Teilnehmerstation errichtet werden soll, sowie für die Lieferung und den Unterhalt der beim Teilnehmer aufzustellenden Apparate eine jährliche Abonnementstaxe ( Art. 18 Abs. 1 TVG ). Der Teilnehmer darf ohne Zustimmung der PTT-Betriebe keine andern Leitungen oder Apparate mit denen der PTT-Betriebe verbinden ( Art. 20 Abs. 2 TVG ). Wer konzessions- oder bewilligungspflichtige Sende- und Empfangseinrichtungen und Anlagen irgendwelcher Art, die der elektrischen oder radioelektrischen Zeichen-, Bild- oder Lautübertragung dienen, ohne Konzession oder BGE 117 IV 349 S. 352 Bewilligung oder in Widerspruch dazu erstellt, betreibt oder benützt, wer ohne amtliche Zustimmung Leitungen, Apparate oder Geräte mit Anlagen der Fernmeldedienste verbindet oder an solchen Anlagen Änderungen vornimmt, wird gemäss Art. 42 Ziff. 1 Abs. 1 und 3 TVG , sofern nicht nach Art. 151 StGB eine schwerere Strafe verwirkt ist, mit Haft oder Busse bis zu 10'000 Franken bestraft. Gemäss Art. 43 Abs. 1 TVG wird, wer trotz Mahnung und Hinweis auf die Strafdrohung dieses Artikels einer Vorschrift dieses Gesetzes oder einer dazu erlassenen Verordnung oder einer aufgrund einer solchen Vorschrift getroffenen amtlichen Verfügung nicht nachkommt, mit Busse bis zu 1'000 Franken bestraft. Nach Art. 46 Abs. 2 Satz 1 TVG werden die zur Vollziehung des Gesetzes erforderlichen Vorschriften in der vom Bundesrat zu erlassenden Telegrafen- und Telefonordnung und in den zugehörigen Ausführungsbestimmungen aufgestellt. Die vom Bundesrat gestützt auf Art. 46 Abs. 2 TVG erlassene Verordnung (3) zum Telegrafen- und Telefonverkehrsgesetz (Telefonordnung) vom 13. September 1972 (SR 784.103) enthält unter anderen die folgenden, durch Verordnung vom 9. Juli 1987 eingefügten Bestimmungen: Art. 4 (Haupt- und Zweiganschlüsse): Der Hauptanschluss umfasst die Anschlussorgane in der Ortszentrale, die Anschlussleitung, die Hausleitung und die Hauptsprechstelle des Abonnenten. Als Hauptsprechstelle gilt der Sprechapparat auf dem Hauptanschluss. Weitere Sprechapparate der gleichen Abonnentenanlage heissen Zweigsprechstellen. Die Leitungen, die sie mit der Hauptsprechstelle verbinden, heissen Zweigleitungen. Art. 4a (Abgabe von Sprechapparaten): Hauptsprechstellen und Sprechapparate mit Vermittlungsfunktionen werden von den PTT im Abonnement abgegeben (Abs. 1). Zweigsprechstellen werden von den PTT und von Privaten angeboten (Abs. 2). Art. 4b (Technische Genehmigung): Sprechapparate dürfen nur erstellt und betrieben werden, wenn sie von den PTT-Betrieben technisch genehmigt worden sind (Abs. 1). Das EVED regelt die Voraussetzungen und das Verfahren der Genehmigung; es kann Einzel- und Typengenehmigungen vorsehen (Abs. 2). Art. 4c (Exportnachweispflicht): Sprechapparate, die zur Ausfuhr bestimmt sind, müssen nicht technisch genehmigt werden (Abs. 1). Das EVED kann verlangen, dass die Ausfuhr solcher Apparate nachgewiesen wird. Es regelt die Modalitäten des Exportnachweises (Abs. 2). Die vom EVED gestützt auf Art. 4c der Telefonordnung erlassene Verordnung über den Exportnachweis nicht genehmigter Sprechapparate vom 19. Oktober 1987, in Kraft seit 1. Januar 1988, bestimmt in Art. 2 (Aufzeichnungspflicht der Anbieter) folgendes: BGE 117 IV 349 S. 353 Wer nicht genehmigte Sprechapparate anbietet, muss ein Apparate- und ein Käuferbuch führen und während drei Jahren aufbewahren. Im Apparatebuch sind festzuhalten: a) Typ und Stückzahl der nicht genehmigten Apparate; b) wenn der Anbieter die Apparate von einem Dritten erworben hat: Name und Adresse des Lieferanten sowie eine Bestätigung der Angaben nach Buchstabe a) durch den Lieferanten oder durch die Zollverwaltung. Im Käuferbuch sind festzuhalten: a) Name, Adresse und, bei in der Schweiz wohnhaften natürlichen Personen, Art und Nummer des vom Käufer vorgewiesenen Ausweises; b) Typ und Stückzahl des vom Käufer erworbenen Apparates; c) das Verkaufsdatum; d) die Bestätigungen des Käufers nach Art. 1 Abs. 1 und 2. Art. 1 der Verordnung des EVED bestimmt unter anderem folgendes: Wer einen nicht genehmigten Sprechapparat erwirbt, muss dem Verkäufer gegenüber schriftlich bestätigen, dass er den Apparat nicht an das Telefonnetz der PTT-Betriebe anschliessen wird. Wenn er den Apparat zur Ausfuhr oder zum Weiterverkauf erwirbt, muss er dem Verkäufer überdies innert 6 Monaten eine entsprechende Bescheinigung zustellen.</w:t>
      </w:r>
    </w:p>
    <w:p>
      <w:r>
        <w:rPr>
          <w:b/>
        </w:rPr>
        <w:t>E. 3</w:t>
      </w:r>
    </w:p>
    <w:p>
      <w:r>
        <w:t>Der Beschwerdeführer macht im Verfahren vor dem Bundesgericht nicht mehr geltend, dass die Vorschriften in den Verordnungen des Bundesrates bzw. des EVED bezüglich der Exportnachweispflicht betreffend nicht genehmigte Apparate verfassungswidrig ( Art. 31, 36 Abs. 1 BV ) seien. Er ist aber nach wie vor der Auffassung, dass die fraglichen Vorschriften eine Grundlage in einem Gesetz im formellen Sinn (TVG) erfordern und dass eine solche gesetzliche Grundlage fehle. a) Aus Art. 4c Abs. 1 der Telefonordnung, wonach Sprechapparate, die zur Ausfuhr bestimmt sind, nicht von den PTT-Betrieben technisch genehmigt werden müssen, ergibt sich folgendes: Sprechapparate, die nicht zur Ausfuhr bestimmt sind, die also in der Schweiz bleiben und an das Telefonnetz der PTT-Betriebe angeschlossen werden (vgl. dazu Art. 1 Abs. 1 Satz 1 der Exportnachweisverordnung), müssen von den PTT-Betrieben technisch genehmigt sein; der Verkauf von technisch nicht genehmigten Sprechapparaten, die an das Telefonnetz der PTT-Betriebe angeschlossen werden sollen, ist verboten und, wie sich aus Art. 43 Abs. 1 TVG ergibt, strafbar. Es stellt sich die Frage, ob diese in der bundesrätlichen Telefonordnung enthaltene Regelung einer Grundlage in einem formellen BGE 117 IV 349 S. 354 Gesetz bedarf und ob eine solche allenfalls erforderliche gesetzliche Grundlage vorliegend gegeben ist. b) Aufgrund des Fernmelderegals im Sinne von Art. 36 Abs. 1 BV als solchen sowie auch aus anstaltspolizeilichen Gründen ist der Bund berechtigt, repressive Massnahmen gegen bereits erfolgte oder unmittelbar drohende Störungen zu ergreifen. Hingegen bedürfen präventive Massnahmen wie etwa die Unterwerfung der Herstellung von Geräten unter eine vorgängige Einzel- oder Typenkontrolle einer besonderen gesetzlichen Grundlage ( BGE 105 Ib 397 ). Als präventive Massnahme in diesem Sinne sind nach den zutreffenden Ausführungen im angefochtenen Urteil auch die dem Verkäufer auferlegten Pflichten zur Führung von Büchern (Apparate- und Käuferbuch) betreffend Exportnachweis bezüglich technisch nicht genehmigter Geräte zu qualifizieren, durch die verhindert werden soll, dass nicht genehmigte Sprechapparate, welche das einwandfreie Funktionieren des Fernmeldewesens in Frage stellen könnten, an das schweizerische Telefonnetz angeschlossen werden. Die Exportnachweispflicht in bezug auf Sprechapparate, die nicht von den PTT-Betrieben technisch genehmigt worden sind, bzw. das damit verbundene Verbot des Verkaufs von solchen Sprechapparaten in der Schweiz ohne Vorliegen eines Exportnachweises stellt mithin eine präventive Massnahme dar, zu deren Erlass der Bund nicht schon direkt gestützt auf das Fernmelderegal gemäss Art. 36 Abs. 1 BV bzw. aus anstaltspolizeilichen Gründen, sondern nur aufgrund einer Ermächtigung in einem Gesetz im formellen Sinne berechtigt ist. Eine entsprechende Regelung in einer bundesrätlichen Verordnung allein reicht mithin nicht aus, sondern bedarf einer Grundlage in einem formellen Gesetz. c) Die Telefonordnung stützt sich laut ihrem Ingress auf Art. 46 Abs. 2 TVG . Danach werden die "zur Vollziehung des Gesetzes erforderlichen Vorschriften" in der vom Bundesrat zur erlassenden Telegrafen- und Telefonordnung und in den zugehörigen Ausführungsbestimmungen aufgestellt. Diese Delegationsnorm ist damit zwar weit gefasst; Art. 46 Abs. 2 TVG , der insoweit etwa mit Art. 106 Abs. 1 SVG vergleichbar ist, ermächtigt den Bundesrat aber nicht zum Erlass von sogenannten gesetzesvertretenden Verordnungen, sondern lediglich zum Erlass von Vollziehungsvorschriften. Durch eine Vollziehungsverordnung können die gesetzlichen Bestimmungen konkretisiert und präzisiert und in diesem Sinne ergänzt werden; hingegen können durch eine Vollziehungsverordnung nicht grundlegend neue Verbote oder Pflichten statuiert BGE 117 IV 349 S. 355 werden, für die sich im zu vollziehenden Gesetz keine klare Grundlage findet, und zwar auch dann nicht, wenn diese Pflichten bzw. Verbote an sich mit dem Zweck des Gesetzes durchaus noch vereinbar wären ( BGE 103 IV 194 mit Hinweisen, vgl. auch BGE 116 IV 237 ). Die Statuierung solcher neuen Pflichten bzw. Verbote ist nur im Gesetz im formellen Sinne selber oder, aufgrund einer besonderen Delegation in diesem Gesetz, in einer gesetzesvertretenden Verordnung möglich. Die dem Verkäufer auferlegte Pflicht, in bezug auf den Verkauf von Sprechapparaten, die von den PTT-Betrieben nicht technisch genehmigt worden sind, durch Führung bestimmter Bücher einen Exportnachweis zu erbringen, und vor allem das damit verbundene Verbot des Verkaufs von nicht zur Ausfuhr bzw. von zum Anschluss an das schweizerische Netz bestimmten technisch nicht genehmigten Sprechapparaten können gemäss einer zutreffenden Bemerkung in der eidgenössischen Nichtigkeitsbeschwerde entgegen den Ausführungen im angefochtenen Urteil insbesondere auch nicht als blosse Anpassung an die rasch ändernden technischen oder wirtschaftlichen Verhältnisse begriffen werden, zu deren Vornahme der Verordnungsgeber schon durch eine relativ allgemein gehaltene Delegationsnorm betreffend Vollziehung des Gesetzes ermächtigt werden kann (siehe dazu BGE 109 Ib 292 E. 3d mit Hinweisen). Durch die fraglichen Verordnungsbestimmungen wird vielmehr der Handel Privater mit Sprechapparaten umfassend geregelt und erheblich eingeschränkt. Auch wenn gerade infolge umwälzender Änderungen der technischen Verhältnisse auf dem Gebiet des Fernmeldewesens der Handel mit Sprechapparaten für private Anbieter interessant geworden ist, stellt die Regelung des privaten Handels keine blosse Anpassung an die veränderten Verhältnisse dar, die möglichst rasch vorgenommen werden muss und aus diesem Grunde in einer allgemeinen Delegationsnorm dem Verordnungsgeber überlassen werden kann. Die Änderung der Verhältnisse infolge der technischen Entwicklungen wirft im Gegenteil grundsätzliche Fragen auf, die der Klärung in einem Gesetz im formellen Sinne bedürfen (vgl. auch die Botschaft des Bundesrates vom 7. Dezember 1987 zu einem Fernmeldegesetz, BBl 1988 I 1311ff., 1327 f., 1334 f.). d) Weder in Art. 1 TVG (betreffend Umfang des Telegrafen- und Telefonregals) noch in Art. 3 TVG (betreffend Konzessionen), noch in Art. 42 TVG (betreffend Verletzung des Telegrafen- oder Telefonregals und anderer Fiskalrechte) ist vom Handel mit Sprechapparaten die Rede. Die genannten Bestimmungen erwähnen BGE 117 IV 349 S. 356 lediglich das Erstellen und Betreiben von Einrichtungen und Anlagen. "Erstellen" bedeutet betriebsfertig machen, d.h. Anschliessen an Stromquelle, Antenne oder Erdleitung; "Betreiben" heisst gebrauchen, unabhängig davon, ob mit Erfolg gesendet oder empfangen wird (vgl. Art. 1 lit. e und f der Verordnung 1 zum Telegrafen- und Telefonverkehrsgesetz vom 17. August 1983, SR 784.101). Das Telefonregal, wie es in den genannten Bestimmungen des TVG umschrieben ist, umfasst mithin lediglich die Installation und den Betrieb von Teilnehmeranlagen, etwa Sprechapparaten; der Handel mit Sprechapparaten ist dagegen nicht regalisiert (BENNO BERNET, Die schweizerischen PTT-Betriebe und ihre wettbewerbsrechtliche Stellung als Anbieter, insbesondere im Bereich der Massenkommunikation, Diss. Zürich 1989, S. 103 mit Hinweisen; Botschaft des Bundesrates, BBl 1988 I 1328; ferner VEB 1933 Nr. 168). Allerdings haben die PTT-Betriebe in den vergangenen Jahrzehnten ihr rechtliches Installationsmonopol, wie es im TVG festgelegt ist, unter anderem aus anstaltspolizeilichen Gründen, zur Gewährleistung eines möglichst störungsfreien Telefonverkehrs, dazu benützt, ein faktisches Monopol in bezug auf den Handel mit Sprechapparaten zu schaffen, indem sie keine anderen als die von ihnen bereitgestellten bzw. technisch genehmigten Apparate an das öffentliche Fernmeldenetz anschliessen liessen (BENNO BERNET, a.a.O., TUASON/ROMANENS, Das Recht der schweizerischen PTT-Betriebe, herausgegeben von der Generaldirektion PTT, 1980, S. 140). Zwar könnte der Gesetzgeber aufgrund von Art. 36 Abs. 1 BV wohl ein rechtliches Monopol auch in bezug auf den Handel mit Sprechapparaten schaffen; entscheidend ist aber, dass im TVG, in welchem lediglich vom Erstellen und vom Betreiben von Anlagen und Einrichtungen, nicht auch vom Handel mit solchen die Rede ist, ein rechtliches Monopol in bezug auf den Handel mit Sprechapparaten jedenfalls nicht ausdrücklich geschaffen worden ist. Wohl ist, wie das Bundesgericht in BGE 73 I 337 ff. unter Berufung auf die Voten des Bundespräsidenten Haab bei der Beratung von Art. 3 TVG (Sten.Bull. 1922 NR S. 225, SR S. 365) ausführte, den PTT-Betrieben "das Monopol für die Lieferung der beim Teilnehmer aufzustellenden Telefonapparate vorbehalten, weil nur so das einwandfreie Funktionieren des Telefonbetriebes gewährleistet werden kann" (S. 340); diese Erwägung sowie die Voten von Bundespräsident Haab betreffen aber nur die Lieferung "der beim Teilnehmer aufzustellenden Apparate", also mit andern Worten die Frage, BGE 117 IV 349 S. 357 welche Apparate installiert, d.h. an das Telefonnetz angeschlossen werden können, mithin das Installationsmonopol, und nicht das Problem des Handels mit Sprechapparaten als solchen. Den Materialien zum TVG von 1922, denen übrigens schon angesichts der inzwischen verstrichenen langen Zeit keine allzu grosse Bedeutung mehr zukommen könnte, kann entgegen den Andeutungen in BGE 73 I 340 nicht entnommen werden, dass der historische Gesetzgeber mit der Schaffung des TVG gestützt auf Art. 36 Abs. 1 BV neben dem Erstellen und dem Betreiben von Anlagen und Einrichtungen auch den Handel mit solchen habe regalisieren wollen (vgl. dazu eingehend und überzeugend KARIN SUTTER-SOMM, Zum Apparatemonopol der PTT-Betriebe, in ZBl 88/1987 S. 441 ff., 444 ff.). e) Die Vorinstanz sieht allerdings in Art. 20 Abs. 2 TVG eine hinreichende gesetzliche Grundlage für die Einschränkung des Handels mit Sprechapparaten durch die bundesrätliche Telefonordnung bzw. durch die vom EVED gestützt darauf erlassene Exportnachweisverordnung. Art. 20 Abs. 2 TVG richtet sich indessen, wie in der Nichtigkeitsbeschwerde zutreffend eingewendet wird, ausdrücklich an den Teilnehmer. Dieser darf ohne Zustimmung der PTT-Betriebe keine andern Leitungen oder Apparate mit denen der PTT-Betriebe verbinden; dies dient der Vermeidung von Störungen des Telefonverkehrs (siehe BGE 73 I 341 ). Aus Art. 20 Abs. 2 TVG kann nicht ein Verbot des Handels beispielsweise mit nicht genehmigten Sprechapparaten abgeleitet werden (KARIN SUTTER-SOMM, op.cit., S. 444). Art. 20 Abs. 2 TVG bildet damit entgegen der von der Generaldirektion PTT in der Vernehmlassung zur Nichtigkeitsbeschwerde vertretenen Ansicht keine gesetzliche Grundlage für Art. 4c der bundesrätlichen Telefonordnung bzw. für die gestützt darauf vom EVED erlassene Exportnachweisverordnung. Ein solches Verbot bzw. ein rechtliches Monopol des Bundes in bezug auf den Handel mit Sprechapparaten ergibt sich auch nicht aus dem im angefochtenen Urteil am Rande erwähnten Art. 18 Abs. 1 TVG , wonach die PTT-Betriebe unter anderem "für die Lieferung und den Unterhalt der beim Teilnehmer aufzustellenden Apparate eine jährliche Abonnementstaxe" beziehen. Durch diese Bestimmung wird nicht einmal ein Installationsmonopol (vgl. KARIN SUTTER-SOMM, op.cit., S. 444 oben), geschweige denn ein Monopol in bezug auf den Handel mit Sprechapparaten geschaffen. Es kann höchstens allenfalls gesagt werden, dass Art. 18 Abs. 1 TVG , entsprechend den BGE 117 IV 349 S. 358 im Jahre 1922 herrschenden tatsächlichen Verhältnissen, das Bestehen eines faktischen Monopols der PTT-Betriebe in bezug auf den Handel mit Sprechapparaten gewissermassen stillschweigend voraussetzt. f) Es ginge im übrigen auch nicht an, unter Berufung auf die "ratio legis", die unter anderem in der Verhinderung von Störungen des Telefonverkehrs durch nicht genehmigte Sprechapparate besteht, den Verkauf von nicht zum Export bestimmten bzw. von zum Anschluss an das schweizerische Netz bestimmten nicht genehmigten Apparaten als nach dem TVG verboten zu betrachten. Darin läge nicht mehr eine - extensive - Auslegung von gesetzlichen Bestimmungen (etwa von Art. 1, 18 Abs. 1, 20 Abs. 2 TVG), sondern eine Lückenfüllung "praeter legem"; die Schaffung neuen Rechts und damit der erforderlichen gesetzlichen Grundlage für die Verordnungsbestimmung, aufgrund welcher der Beschwerdeführer verurteilt worden ist, durch Lückenfüllung "praeter legem" ist im Strafrecht unzulässig. g) Es ergibt sich demnach zusammenfassend, dass der Handel mit Sprechapparaten im TVG nicht geregelt ist. Er ist nicht regalisiert, sondern nach dem TVG vielmehr frei. Die Einschränkung des Handels mit Sprechapparaten durch Art. 4c der bundesrätlichen Telefonordnung und durch die vom EVED gestützt darauf erlassene Exportnachweisverordnung, gemäss welcher der Beschwerdeführer verurteilt worden ist, entbehrt der gesetzlichen Grundlage. Bei diesem Ergebnis kann dahingestellt bleiben, ob die in Art. 4c der bundesrätlichen Telefonordnung enthaltene Subdelegation den bundesrechtlichen Anforderungen an eine solche genüge.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