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w:t>
      </w:r>
    </w:p>
    <w:p>
      <w:r>
        <w:rPr>
          <w:i/>
        </w:rPr>
        <w:t>Bundesgericht (BGE)</w:t>
      </w:r>
      <w:r>
        <w:rPr>
          <w:i/>
        </w:rPr>
        <w:t xml:space="preserve">  ·  1991-01-01</w:t>
      </w:r>
      <w:r>
        <w:rPr>
          <w:i/>
        </w:rPr>
        <w:t xml:space="preserve">  ·  FR</w:t>
      </w:r>
    </w:p>
    <w:p>
      <w:r>
        <w:rPr>
          <w:b/>
        </w:rPr>
        <w:t xml:space="preserve">Source: </w:t>
      </w:r>
      <w:r>
        <w:t>https://mcp.opencaselaw.ch/entscheid/bge_BGE_117_IV_27</w:t>
      </w:r>
    </w:p>
    <w:p>
      <w:r>
        <w:t>FR: ATF 117 IV 27 · IT: DTF 117 IV 27</w:t>
      </w:r>
    </w:p>
    <w:p>
      <w:pPr>
        <w:pStyle w:val="Heading2"/>
      </w:pPr>
      <w:r>
        <w:t>Regeste</w:t>
      </w:r>
    </w:p>
    <w:p>
      <w:r>
        <w:t>Regeste Art. 173 bis 177 StGB; Strafbare Handlungen gegen die Ehre. Zusammenfassung der von der Rechtsprechung entwickelten wesentlichen Grundsätze auf dem Gebiet der Ehrverletzung, insbesondere begangen durch die Presse (E. 2c); Anwendung dieser Grundsätze im konkreten Fall (E. 2d).</w:t>
      </w:r>
    </w:p>
    <w:p>
      <w:r>
        <w:t>Regeste Art. 173 à 177 CP; Délits contre l'honneur. Rappel des principes essentiels développés par la jurisprudence en matière d'atteinte à l'honneur, notamment commise par la voie de la presse (consid. 2c) et application concrète de ces principes (consid. 2d).</w:t>
      </w:r>
    </w:p>
    <w:p>
      <w:r>
        <w:t>Regesto Art. 173-177 CP; reati contro l'onore. Sintesi dei principi essenziali stabiliti dalla giurisprudenza in materia di offesa dell'onore, in particolare di quella commessa mediante la stampa (consid. 2c), e applicazione concreta di tali principi (consid. 2d).</w:t>
      </w:r>
    </w:p>
    <w:p>
      <w:pPr>
        <w:pStyle w:val="Heading2"/>
      </w:pPr>
      <w:r>
        <w:t>Erwägungen</w:t>
      </w:r>
    </w:p>
    <w:p>
      <w:r>
        <w:rPr>
          <w:b/>
        </w:rPr>
        <w:t>E. 2</w:t>
      </w:r>
    </w:p>
    <w:p>
      <w:r>
        <w:t>c) L'honneur protégé par le droit pénal est le droit de chacun à ne pas être considéré comme une personne méprisable. Le respect des autres est une condition essentielle à une vie sociale harmonieuse. Selon la jurisprudence, les articles 173 ss CP ne protègent que l'honneur personnel, la réputation et le sentiment d'être un homme honorable, de se comporter, en d'autres termes, comme un homme BGE 117 IV 27 S. 29 digne a coutume de le faire selon les idées généralement reçues; échappent à ces dispositions les assertions qui sont propres seulement à ternir de quelque autre manière la réputation dont jouit quelqu'un dans son entourage ou à ébranler sa confiance en lui-même: ainsi en va-t-il des critiques qui visent comme tel l'homme de métier, l'artiste ou le politicien ( ATF 105 IV 195 consid. 2a, ATF 92 IV 101 consid. 2, ATF 80 IV 164 consid. 2 et les arrêts cités). Les arrêts les plus récents mettent en doute la distinction entre l'honneur interne et l'honneur externe et considèrent que l'honneur protégé par le droit pénal doit être conçu de façon générale comme un droit au respect ( ATF 115 IV 44 consid. c, ATF 114 IV 16 consid. b), qui est lésé par toute allégation de fait propre à exposer la personne visée au mépris en sa qualité d'homme ( ATF 105 IV 196 consid. a). Pour qu'il y ait diffamation ( art. 173 CP ), il faut une allégation de fait, et non pas un simple jugement de valeur ( ATF 92 IV 98 consid. 4). Il n'est pas nécessaire que la personne visée soit nommément désignée, il suffit qu'elle soit reconnaissable ( ATF 105 IV 117 , ATF 99 IV 149 consid. 1). Il n'est pas nécessaire non plus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102 IV 181 ; LOGOZ, Commentaire du CPS, partie spéciale I, p. 245, n. 4). Hormis le régime particulier de l'article 27 CP (voir ATF 106 IV 164 consid. 3), le journaliste ne jouit d'aucun privilège lorsqu'il porte une atteinte à l'honneur par la voie de la presse ( ATF 105 IV 119 consid. 2a et l'arrêt cité).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(ATF ATF 104 IV 14 consid. c). L'interprétation des éléments constitutifs de l'infraction réprimée par l' art. 173 CP doit être la même à l'endroit de quiconque, qu'il ait agi par la voie de la presse ou non ( ATF 104 IV 14 consid. c). S'agissant de déterminer si un texte contient une atteinte à l'honneur, il ne faut pas se fonder sur le sens que lui donne la BGE 117 IV 27 S. 30 personne visée, mais sur une interprétation objective selon le sens que le lecteur non prévenu doit, dans les circonstances données, lui attribuer ( ATF 105 IV 113 consid. 2, 196 consid. a et l'arrêt cité). Le texte doit être analysé non seulement en fonction des expressions utilisées, prises séparément, mais aussi selon le sens général qui découle du texte dans son ensemble ( ATF 105 IV 197 ; LOGOZ, op.cit., p. 244, n. 3b). Il n'est pas rare qu'une accumulation de petites touches, qui apparaissent insignifiantes si on les considère isolément, conduisent à dresser un portrait haïssable. d) Il apparaît d'emblée en l'espèce que l'autorité cantonale a analysé les expressions utilisées en les examinant séparément, mais en perdant de vue le sens général de l'article. Un lecteur non prévenu retient manifestement de la lecture de cet article que des gens sans scrupule se sont peut-être employés à isoler une vieille dame de son entourage pour, exploitant sa faiblesse due à l'âge, lui soutirer son argent. Pour qu'il y ait atteinte à l'honneur punissable, il n'est pas nécessaire d'avancer des actes pénalement répréhensibles, il suffit d'alléguer des faits qui rendent méprisable la personne visée. Le comportement consistant à isoler une dame âgée pour lui soutirer son argent en exploitant son état de faiblesse est assurément méprisable. L'article a clairement pour but de susciter chez le lecteur un sentiment d'indignation ou de révolte. Selon les principes qui viennent d'être rappelés, il importe peu que les auteurs de l'article aient cité leurs sources ou qu'ils aient émis des réserves; la manière dont ils ont conclu leur texte laisse en tout cas planer un soupçon. Pour ce qui est des personnes qui auraient adopté ce comportement méprisable, l'article évoque trois figures: la gouvernante, le notaire et l'avocat. L'article se concentre progressivement sur la personne de la gouvernante, présentée par des renseignements défavorables, dont on dit en définitive qu'elle aurait "tout raflé". L'article laisse ainsi planer le soupçon que la gouvernante aurait adopté le comportement méprisable qui est décrit. Désignée par son prénom et sa fonction auprès de la défunte, la plaignante est suffisamment reconnaissable. S'il est vrai que l'adjectif "kidnappée" figure entre guillemets et que le lavage de cerveau ne doit sans doute pas être compris au pied de la lettre, ces termes décrivent bien l'activité consistant à isoler la victime de BGE 117 IV 27 S. 31 son entourage et à exercer sur elle une pression psychologique en profitant de la faiblesse due à l'âge. Il s'agit de faits, soit plus précisément d'un comportement, contraires aux règles de l'honneur et dont la plaignante est soupçonnée. En donnant à penser que la plaignante avait "tout raflé" à l'avant-dernière heure et que la vieille dame avait été sa proie, l'article jette sur la plaignante le soupçon d'avoir eu un comportement et un mobile méprisables. Le Ministère public cantonal n'a ouvert l'information que sur des faits précis, relativement faciles à vérifier, mais qui ne jouent qu'un rôle secondaire si l'on considère l'article dans son ensemble. Le point principal est que l'on jette sur la plaignante le soupçon d'avoir isolé la vieille dame de son entourage et, en exploitant sa faiblesse due à l'âge, de lui avoir soutiré son argent. En déniant sur ce point l'existence d'une atteinte à l'honneur à l'encontre de la plaignante, l'autorité cantonale a violé l'article 173 ch. 1 al. 1 CP. Il n'y a pas lieu de se prononcer, au stade de l'ouverture d'une information, sur le rôle exact joué par la collaboratrice B., ni sur l'admissibilité de la preuve de vérité ou la véracité des faits.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