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186</w:t>
      </w:r>
    </w:p>
    <w:p>
      <w:r>
        <w:t>Bundesgericht (BGE), 1991-01-01, DE</w:t>
      </w:r>
    </w:p>
    <w:p>
      <w:r>
        <w:rPr>
          <w:b/>
        </w:rPr>
        <w:t xml:space="preserve">Quelle: </w:t>
      </w:r>
      <w:r>
        <w:t>https://mcp.opencaselaw.ch/entscheid/bge_BGE_117_IV_186</w:t>
      </w:r>
    </w:p>
    <w:p>
      <w:r>
        <w:t>FR: ATF 117 IV 186</w:t>
      </w:r>
    </w:p>
    <w:p>
      <w:r>
        <w:t>IT: DTF 117 IV 186</w:t>
      </w:r>
    </w:p>
    <w:p>
      <w:pPr>
        <w:pStyle w:val="Heading2"/>
      </w:pPr>
      <w:r>
        <w:t>Regeste</w:t>
      </w:r>
    </w:p>
    <w:p>
      <w:r>
        <w:t>Regeste Art. 91 Abs. 1 SVG, Art. 25 StGB; Gehilfenschaft zu Fahren in angetrunkenem Zustand. Gehilfenschaft zu Fahren in angetrunkenem Zustand kann auch durch Förderung des Alkoholkonsums des Motorfahrzeuglenkers begangen werden (Bestätigung der Rechtsprechung). Durch das wechselseitige Bestellen und Bezahlen von "Runden" alkoholischer Getränke durch die Teilnehmer an einem Trinkgelage wird nach der allgemeinen Lebenserfahrung der Alkoholkonsum der Beteiligten gefördert. Subjektiv ist erforderlich, dass der Gehilfe zur Zeit der (eventual)vorsätzlichen Erbringung seines Tatbeitrages auch weiss oder damit rechnet, dass der Fahrzeuglenker schon zu dieser Zeit eine Trunkenheitsfahrt zumindest in Kauf nimmt.</w:t>
      </w:r>
    </w:p>
    <w:p>
      <w:r>
        <w:t>Regeste Art. 91 al. 1 LCR, art. 25 CP; complicité de conduite en état d'ébriété. Encourager le conducteur à consommer de l'alcool peut aussi constituer une complicité de conduite en état d'ébriété (confirmation de jurisprudence). Conformément à l'expérience générale de la vie, la commande et le paiement réciproques de "tournées" de boissons alcoolisées favorisent la consommation d'alcool de ceux qui participent à la réunion. Du point de vue subjectif, il est nécessaire que le complice, au moment où il apporte sa contribution - volontairement ou sous la forme du dol éventuel - au processus des "tournées", sache ou prenne en compte le fait que le conducteur, à ce moment déjà, envisage pour le moins une course en état d'ébriété.</w:t>
      </w:r>
    </w:p>
    <w:p>
      <w:r>
        <w:t>Regesto Art. 91 cpv. 1 LCS, art. 25 CP; complicità nella guida in stato di ebrietà. Anche il fatto di incoraggiare il conducente a consumare bevande alcoliche può costituire una complicità nella guida in stato di ebrietà (conferma della giurisprudenza). Conformemente all'esperienza generale della vita, bicchierate di bevande alcoliche ordinate e pagate vicendevolmente favoriscono il consumo d'alcol di coloro che partecipano alla riunione. Sotto il profilo soggettivo occorre che il complice, al momento in cui apporta - volontariamente o con dolo eventuale - il proprio contributo alle bicchierate, conosca o accetti la circostanza che il conducente quanto meno preveda già a quel momento di condurre in stato di ebrietà.</w:t>
      </w:r>
    </w:p>
    <w:p>
      <w:pPr>
        <w:pStyle w:val="Heading2"/>
      </w:pPr>
      <w:r>
        <w:t>Erwägungen</w:t>
      </w:r>
    </w:p>
    <w:p>
      <w:r>
        <w:rPr>
          <w:b/>
        </w:rPr>
        <w:t>E. 2</w:t>
      </w:r>
    </w:p>
    <w:p>
      <w:r>
        <w:t>Der Kassationshof hat in BGE 116 IV 71 in Änderung seiner früheren Rechtsprechung erkannt, dass beim Tatbestand des Fahrens in angetrunkenem Zustand Täter nur sein kann, wer das Fahrzeug führt. Dass das Verschulden des Dritten angesichts von dessen Tatbeitrag und Interesse an der Fahrt allenfalls mindestens gleich schwer wiegt wie das Verschulden des angetrunkenen Fahrzeugführers, erlaubt es nicht, ihn als Mittäter zu qualifizieren. Denn die vom angetrunkenen Fahrzeugführer ausgehende Gefahr ist nicht Tatbestandsmerkmal von Art. 91 SVG . Deshalb kann, wer etwa als Anführer eines Trinkgelages einen Beitrag zu dieser BGE 117 IV 186 S. 188 Gefahr leistete, nicht unter Hinweis darauf als Mittäter zu Fahren in angetrunkenem Zustand verurteilt werden. Der nicht massgeblich an der Führung des Fahrzeugs Beteiligte kann, je nach den Umständen, lediglich als Anstifter oder Gehilfe zu Fahren in angetrunkenem Zustand verurteilt werden. Überlässt er ein Fahrzeug dem Angetrunkenen, so erfüllt er dadurch den Tatbestand von Art. 2 Abs. 3 in Verbindung mit Art. 96 VRV . Dieser Tatbestand kann, je nach den Umständen, zu Anstiftung oder Gehilfenschaft zu Fahren in angetrunkenem Zustand in echter Konkurrenz stehen ( BGE 116 IV 74 ). Dass strafbare Gehilfenschaft im Sinne von Art. 25 StGB zu Fahren in angetrunkenem Zustand im Sinne von Art. 91 Abs. 1 SVG (ein Vergehen) möglich ist, wie sich aus Art. 102 Ziff. 1 SVG ergibt, ist in Rechtsprechung und Lehre unbestritten und wird auch von den Beschwerdeführern anerkannt.</w:t>
      </w:r>
    </w:p>
    <w:p>
      <w:r>
        <w:rPr>
          <w:b/>
        </w:rPr>
        <w:t>E. 3</w:t>
      </w:r>
    </w:p>
    <w:p>
      <w:r>
        <w:t>Gehilfe ist, wer vorsätzlich in untergeordneter Stellung die vorsätzliche Haupttat eines andern fördert; Gehilfenschaft zu einer nicht vorsätzlichen Haupttat ist nicht möglich (TRECHSEL, Kurzkommentar, Art. 25 N 1 ; STRATENWERTH, Strafrecht Allg. Teil I, § 13 N 111 ). Als Hilfeleistung gilt nach der Rechtsprechung jeder irgendwie geartete kausale Tatbeitrag, jeder kausale Beitrag des Gehilfen, der das Delikt fördert, so dass sich die Tat ohne seine Mitwirkung anders abgespielt hätte ( BGE 98 IV 85 ; BGE 113 IV 109 ). Nicht erforderlich ist, dass es ohne die Hilfeleistung nicht zur Tat gekommen wäre ( BGE 78 IV 7 ; BGE 88 IV 27 ; BGE 92 IV 114 ). Es reicht aus, dass der Gehilfe die Tat im Sinne dieser Rechtsprechung gefördert hat. Andererseits muss die Hilfeleistung tatsächlich zur Tat beigetragen, also einen kausalen Beitrag dargestellt haben (vgl. BGE 113 IV 87 ). Der Gehilfe muss die Erfolgschancen der tatbestandserfüllenden Handlung erhöhen (STRATENWERTH, op.cit., § 13 N 113 ). Subjektiv ist erforderlich, dass der Gehilfe weiss oder damit rechnet, eine bestimmt geartete Straftat zu unterstützen, und dass er dies will oder in Kauf nimmt, wobei zum Vorsatz auch die Voraussicht des Geschehensablaufs gehört; dabei genügt es, dass er die wesentlichen Merkmale des vom Täter zu verwirklichenden strafbaren Tuns erkennt, während er Einzelheiten der Tat nicht zu kennen braucht. Ein ganz unbestimmter, allgemein gehaltener Vorsatz dahingehend, dass das eigene Verhalten einem Dritten überhaupt Hilfe zur Deliktsbegehung leiste, kann nicht ausreichen ( BGE 113 IV 109 mit Hinweisen). Zum Vorsatz des Gehilfen BGE 117 IV 186 S. 189 gehört auch die Kenntnis des Vorsatzes des Haupttäters; dieser muss deshalb bereits einen Tatentschluss gefasst haben (HAUSER/REHBERG, Strafrecht I, S. 103).</w:t>
      </w:r>
    </w:p>
    <w:p>
      <w:r>
        <w:rPr>
          <w:b/>
        </w:rPr>
        <w:t>E. 4</w:t>
      </w:r>
    </w:p>
    <w:p>
      <w:r>
        <w:t>a) Die Vorinstanz sieht die die Haupttat des B. fördernde aktive Hilfeleistung der beiden Beschwerdeführer darin, dass diese mit B. an einem Trinkgelage teilnahmen und dass die drei Beteiligten dabei wechselseitig "Runden" bestellten und bezahlten. Die Erfahrung zeige, dass die Teilnehmer an einem solchen Trinkgelage allein schon durch den Umstand des gemeinsamen Trinkens zu erhöhtem Alkoholkonsum neigen. Hinzu komme das gegenseitige Bestellen und Bezahlen von "Runden". Dadurch werde nach aller Erfahrung der Alkoholgenuss der Beteiligten stark gefördert. Wer eine "Runde aufwirft", gehe nämlich davon aus, dass die Mitzecher seinem Beispiel folgen werden. Diese wiederum stünden unter Erwartungsdruck und damit in gewisser Hinsicht unter Zugzwang. Die aktive Teilnahme an einem solchen "circulus vitiosus" unterscheide sich daher erheblich vom Fall, da jemand zwar mitzecht, aber ansonsten - abgesehen von seinem schlechten Beispiel - die Angetrunkenheit des Fahrzeugführers nicht aktiv fördert. Die Vorinstanz geht gestützt auf diese Überlegungen davon aus, dass sich der Motorfahrzeuglenker B. ohne das gemeinsam veranstaltete Trinkgelage unter wechselseitiger Bestellung und Bezahlung von "Runden" nicht in dem Masse alkoholisiert und sich infolgedessen auch nicht mit einem Rausch ans Steuer gesetzt hätte. Die Vorinstanz hat mit diesen Ausführungen unter zutreffender Berufung auf die allgemeine Lebenserfahrung eine aktive, die Haupttat des Fahrens in angetrunkenem Zustand fördernde Hilfeleistung mit Recht bejaht. Gehilfenschaft zu Fahren in angetrunkenem Zustand kann nicht nur in Tatbeiträgen liegen, die die Fahrt in angetrunkenem Zustand, sondern auch in Tatbeiträgen, welche den angetrunkenen Zustand des Fahrzeugführers fördern. An dieser Rechtsprechung (vgl. schon BGE 65 I 336 zu Art. 59 MFG) ist festzuhalten (zustimmend z.B. SCHULTZ, Die Strafbestimmungen des Bundesgesetzes über den Strassenverkehr, Bern 1964, S. 193 mit Hinweisen; GIGER, Strassenverkehrsgesetz, S. 245; BUSSY/RUSCONI, Commentaire, art. 91 LCR, rem. 4.1). Ob schon die Beteiligung an einem Trinkgelage als solche und somit auch in einem Fall, in dem jeder Beteiligte seine Getränke selber bestellt und bezahlt, objektiv als relevanter Tatbeitrag qualifiziert werden könne, braucht vorliegend nicht entschieden zu werden. Jedenfalls BGE 117 IV 186 S. 190 liegt im wechselseitigen Bestellen und Bezahlen von "Runden" durch die Beteiligten im Rahmen eines Trinkgelages aus den von der Vorinstanz genannten Gründen eine die Haupttat des Fahrens in angetrunkenem Zustand fördernde aktive Hilfeleistung. Wohl ist davon auszugehen, dass keiner der drei Beteiligten der bestimmende Anführer des Trinkgelages (siehe dazu BGE 113 IV 86 E. 3b, 98 IV 15) war; der vorliegende Fall unterscheidet sich in bezug auf das Gewicht des Tatbeitrags des Gehilfen auch von dem BGE 65 I 336 ff. zugrunde liegenden Fall, in dem der als Gehilfe angeschuldigte Prokurist seinem Chauffeur bei sieben von insgesamt acht Restaurantbesuchen im Verlaufe eines Nachmittags die Zeche bezahlt hatte. Ein im Sinne von Art. 25 StGB relevanter Tatbeitrag kann indessen mehr oder weniger gewichtig sein, und zwar gerade dann, wenn gemäss der neueren Rechtsprechung des Bundesgerichts ( BGE 116 IV 71 ) der nicht massgeblich an der Führung des Fahrzeugs Beteiligte nicht Mittäter, sondern nur Teilnehmer zu Fahren in angetrunkenem Zustand sein kann. Entscheidend ist vorliegend, dass durch das wechselseitige Bestellen und Bezahlen von "Runden" im Rahmen eines Trinkgelages nach der allgemeinen Lebenserfahrung der Alkoholkonsum der Beteiligten gefördert wird; dass am Ende allenfalls alle drei Beteiligten ungefähr gleich viel bezahlt hatten, ist unerheblich. Ob und allenfalls unter welchen Voraussetzungen sich Gastwirte, Servicepersonal oder Veranstalter von Firmenfesten der Gehilfenschaft zu Fahren in angetrunkenem Zustand schuldig machen können, ist hier nicht zu prüfen. Es ist davon auszugehen, dass B. im Verlaufe des fraglichen Nachmittags gelegentlich auch einen Kaffee-Crème getrunken hatte. Die Behauptung der Beschwerdeführer, es sei nicht auszuschliessen bzw. es sei zu ihren Gunsten davon auszugehen, dass B. jeweils gerade dann einen Kaffee-Crème trank, wenn sie die Runde bezahlten, steht im Widerspruch zu den Feststellungen im angefochtenen Urteil, worin dieser bereits im kantonalen Verfahren erhobene Einwand als nicht nur wirklichkeitsfremd, sondern auch aktenwidrig qualifiziert wird. Der Einwand des Beschwerdeführers W., es sei ihm, da er ja das Lokal rund eine Stunde vor den beiden andern verliess, gar nicht möglich gewesen, B. an der Fahrt zu hindern, geht an der Sache vorbei. Den Beschwerdeführern wird im angefochtenen Entscheid ausdrücklich nicht eine derartige Unterlassung als Tatbeitrag zur Last gelegt, sondern es wird ihnen insoweit einzig vorgeworfen, BGE 117 IV 186 S. 191 durch die Beteiligung am Trinkgelage unter wechselseitigem Bestellen und Bezahlen von "Runden" während der Dauer eines Nachmittags den Alkoholkonsum des Motorfahrzeuglenkers B. gefördert zu haben. b) Im angefochtenen Urteil wird festgehalten, dass der Haupttäter B. "wegen Fahrens in angetrunkenem Zustand" verurteilt worden ist. Im Strafbefehl der Strafkommission des Kantons Obwalden vom 10. Februar 1989 in Sachen B. ist ebenfalls lediglich von "Fahren in angetrunkenem Zustand (mit mind. 2,0 Gew.%o)" die Rede. Der angefochtene Entscheid und die Akten enthalten mithin keine ausdrückliche Antwort auf die Frage, ob B. den Tatbestand des Fahrens in angetrunkenem Zustand vorsätzlich oder fahrlässig erfüllt habe; auch fahrlässiges Fahren in angetrunkenem Zustand ist möglich und, wie sich aus Art. 100 Ziff. 1 Abs. 1 SVG ergibt, strafbar (dazu eingehend REHBERG, Das Fahren in angetrunkenem Zustand, ZStrR 86/1970 S. 121 ff.). Die Antwort auf die Frage, ob B. den Tatbestand von Art. 91 Abs. 1 SVG vorsätzlich oder fahrlässig erfüllte, ist gerade vorliegend von Bedeutung, da ja Gehilfenschaft im Sinne von Art. 25 StGB nur zu einer (eventual)vorsätzlichen Tat möglich ist. Die Vorinstanz erachtet das von ihr richtig erkannte Erfordernis der vorsätzlichen Haupttat offensichtlich als selbstverständlich gegeben. Am (Eventual)Vorsatz des Motorfahrzeuglenkers B. in bezug auf dessen Angetrunkenheit kann denn auch in der Tat kein Zweifel bestehen, so dass kein Anlass zu einer Rückweisung der Sache nach Art. 277 BStP besteht. B. konsumierte eigenen Aussagen zufolge im Verlaufe des Nachmittags vor dem Unfall 8 bis 10 Kaffee-Zwetschgen und noch einige Kaffee-Crème; die Analyse der ihm abgenommenen Blutprobe ergab für den Zeitpunkt des Unfalls, der sich kurz nach dem Antritt der Fahrt ereignet hatte, eine Blutalkoholkonzentration von mindestens 2,00 und höchstens 2,67 Gewichtspromille. Gemäss den Feststellungen im erstinstanzlichen Entscheid stand zudem "für alle drei Beteiligten", mithin auch für B. selber, schon vor Trinkbeginn fest, dass B. am Abend bei der Rückfahrt den Firmenwagen lenken werde. Bei dieser Sachlage steht fest, dass der Motorfahrzeuglenker B. den Tatbestand des Fahrens in angetrunkenem Zustand (eventual)vorsätzlich erfüllte, dass somit das Erfordernis einer Vorsatztat, zu welcher allein Gehilfenschaft im Sinne von Art. 25 StGB möglich ist, erfüllt ist. Bezeichnenderweise machen die beiden Beschwerdeführer denn auch nicht geltend, dass der Vorsatz des Haupttäters B. in bezug auf das Fahren in BGE 117 IV 186 S. 192 angetrunkenem Zustand nicht gegeben bzw. nicht hinreichend erstellt sei. c) Gemäss den tatsächlichen, für den Kassationshof im Verfahren der eidgenössischen Nichtigkeitsbeschwerde verbindlichen Feststellungen der Vorinstanz wussten die Beschwerdeführer, dass B. am Abend mit dem Geschäftsfahrzeug die Rückfahrt antreten würde. Dies war auch B. selber klar; er war mithin zur Fahrt entschlossen, als die Beschwerdeführer ihre Tatbeiträge leisteten, indem sie dessen Alkoholkonsum förderten. Die Beschwerdeführer nahmen zudem nach den hinreichend deutlichen Feststellungen im angefochtenen Entscheid zumindest in Kauf, dass B. nach dem ausgedehnten Trinkgelage, bei dem alle drei Beteiligten rund 8 bis 12 Kaffee-Zwetschgen tranken, bei Antritt der Rückfahrt angetrunken sein werde. Dass die Beschwerdeführer dies nicht geradezu anstrebten, ist unerheblich; nach den zutreffenden Ausführungen im angefochtenen Entscheid genügt zur Bejahung des Eventualvorsatzes, dass sie die Trunkenheitsfahrt in Kauf nahmen, mag sie ihnen auch unerwünscht gewesen sein (vgl. BGE 109 IV 151 ). Das Verhalten der Beschwerdeführer, die im Wissen darum, dass B. am Abend noch den Firmenwagen lenken werde, mit dem sie zum Restaurant gelangt waren, durch wechselseitiges Bestellen und Bezahlen von "Runden" dessen Alkoholkonsum förderten und in der Folge nichts zur Verhinderung der Trunkenheitsfahrt unternahmen (vgl. dazu SCHULTZ, op.cit., S. 194 oben), kann vernünftigerweise nur als Inkaufnahme dieser Trunkenheitsfahrt interpretiert werden. Das gilt auch für das Verhalten des Beschwerdeführers W. Dass dieser sich gegen 18.00 Uhr von seinen beiden Kollegen verabschiedete und diese noch eine Zeitlang im Lokal blieben, ist unerheblich. Gemäss einer tatsächlichen, für den Kassationshof im Verfahren der eidgenössischen Nichtigkeitsbeschwerde verbindlichen Feststellung der Vorinstanz war B. im Zeitpunkt des Aufbruchs von W. zweifellos schon berauscht. Die Trunkenheitsfahrt des B. entsprach dem vom Beschwerdeführer W. als möglich erkannten Ablauf des Geschehens.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