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165</w:t>
      </w:r>
    </w:p>
    <w:p>
      <w:r>
        <w:t>Bundesgericht (BGE), 1991-01-01, DE</w:t>
      </w:r>
    </w:p>
    <w:p>
      <w:r>
        <w:rPr>
          <w:b/>
        </w:rPr>
        <w:t xml:space="preserve">Quelle: </w:t>
      </w:r>
      <w:r>
        <w:t>https://mcp.opencaselaw.ch/entscheid/bge_BGE_117_IV_165</w:t>
      </w:r>
    </w:p>
    <w:p>
      <w:r>
        <w:t>FR: ATF 117 IV 165</w:t>
      </w:r>
    </w:p>
    <w:p>
      <w:r>
        <w:t>IT: DTF 117 IV 165</w:t>
      </w:r>
    </w:p>
    <w:p>
      <w:pPr>
        <w:pStyle w:val="Heading2"/>
      </w:pPr>
      <w:r>
        <w:t>Regeste</w:t>
      </w:r>
    </w:p>
    <w:p>
      <w:r>
        <w:t>Regeste Art. 251 StGB; Falschbeurkundung. Das Erstellen von inhaltlich unwahren Regierapporten (Tagesrapporten) stellt keine Falschbeurkundung dar.</w:t>
      </w:r>
    </w:p>
    <w:p>
      <w:r>
        <w:t>Regeste Art. 251 CP; faux intellectuel dans les titres. L'établissement de rapports de régie (rapports journaliers), dont le contenu est inexact, ne constitue pas un faux intellectuel dans les titres.</w:t>
      </w:r>
    </w:p>
    <w:p>
      <w:r>
        <w:t>Regesto Art. 251 CP; falsità ideologica in documenti. L'allestimento di rapporti di regia (rapporti giornalieri) dal contenuto inveritiero non costituisce una falsità ideologica in documenti.</w:t>
      </w:r>
    </w:p>
    <w:p>
      <w:pPr>
        <w:pStyle w:val="Heading2"/>
      </w:pPr>
      <w:r>
        <w:t>Erwägungen</w:t>
      </w:r>
    </w:p>
    <w:p>
      <w:r>
        <w:rPr>
          <w:b/>
        </w:rPr>
        <w:t>E. 2</w:t>
      </w:r>
    </w:p>
    <w:p>
      <w:r>
        <w:t>a) Die Beschwerdeführer wenden sich dagegen, dass die Vorinstanz sie der Falschbeurkundung gemäss Art. 251 Ziff. 1 Abs. 2 StGB schuldig sprach. Diese Tat begeht, wer eine rechtlich erhebliche Tatsache unrichtig beurkundet oder beurkunden lässt, in der Absicht, jemanden am Vermögen oder an anderen Rechten zu schädigen oder sich oder einem anderen einen unrechtmässigen Vorteil zu verschaffen. Zu ihrem Schuldspruch gelangte die Vorinstanz unter Hinweis auf die SIA-Norm 118 nur in bezug auf die Regierapporte (Tagesrapporte), nicht aber in bezug auf die Arbeits- und Stundenrapporte. Zu prüfen ist somit, ob die Regierapporte Urkunden im Sinne des Gesetzes darstellen oder nicht. b) Die Tatbestände des Urkundenstrafrechts schützen das Vertrauen, welches im Rechtsverkehr einer Urkunde als einem Beweismittel entgegengebracht wird. Mittel zum Beweis kann nur sein, was generell geeignet ist, Beweis zu erbringen. Nach der gesetzlichen Definition sind Urkunden deshalb unter anderem Schriften, die bestimmt und geeignet sind, eine Tatsache von rechtlicher Bedeutung zu beweisen ( Art. 110 Ziff. 5 Abs. 1 StGB ; BGE 101 IV 279 ). Die Vorinstanz sprach die Beschwerdeführer der Falschbeurkundung gemäss Art. 251 Ziff. 1 Abs. 2 StGB schuldig. Im Gegensatz zur Urkundenfälschung durch Herstellen einer unechten BGE 117 IV 165 S. 167 Urkunde, wo die Täuschung durch das Verfälschen des Inhalts einer Urkunde oder das Vorspiegeln eines anderen Ausstellers bewirkt wird, geht es bei der Falschbeurkundung allein darum, dass die in der Urkunde enthaltene Erklärung nicht mit der Wahrheit übereinstimmt. Die allgemeine Strafbarkeit der Falschbeurkundung in privaten Urkunden stellt eine Besonderheit des schweizerischen Rechts dar, die auf eine Ergänzung von Art. 251 Ziff. 1 StGB in den parlamentarischen Beratungen zurückgeht. In der Lehre wird zu Recht eine restriktive Anwendung von Art. 251 StGB in der Form der Falschbeurkundung gefordert. STRATENWERTH (Schweizerisches Strafrecht, Besonderer Teil II, § 38 N 45 mit Hinweis auf LOTTNER, Der Begriff der Urkunde und die Abgrenzung zwischen Falschbeurkundung und strafloser schriftlicher Lüge, Diss. Basel 1969 (ungedruckt), S. 70 ff.) erachtet es als unerlässlich, dass die im Verhältnis zur "schriftlichen Lüge"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die - wie z.B. die Bilanzvorschriften der Art. 958 ff. OR - gerade den Inhalt bestimmter Schriftstücke näher festlegen. Blosse Erfahrungsregeln hinsichtlich der Glaubwürdigkeit irgendwelcher schriftlicher Äusserungen (z.B. solcher, die dem Erklärenden ungünstig sind) genügen dagegen nicht, mögen sie auch zur Folge haben, dass sich der Geschäftsverkehr in gewissem Umfang auf die entsprechenden Angaben verlässt. Auch das Bundesgericht geht in seiner neueren Rechtsprechung davon aus, im Gegensatz zur Urkundenfälschung durch Herstellen einer unechten Urkunde, wo die Täuschung durch das Verfälschen des Inhalts der Urkunde oder das Vorspiegeln eines anderen Ausstellers bewirkt werde, gehe es bei der Falschbeurkundung allein darum, dass die in der Urkunde enthaltene Erklärung nicht mit der Wahrheit übereinstimme. Das Vertrauen darin, dass eine Urkunde nicht verfälscht werde, sei und dürfe grösser sein, als das Vertrauen darauf, dass jemand in schriftlicher Form nicht lüge. Deshalb seien an die Beweisbestimmung und Beweiseignung einer Urkunde bei der Falschbeurkundung hohe Anforderungen zu stellen. Art. 251 StGB sei deshalb restriktiv anzuwenden, soweit es um die Falschbeurkundung gehe ( BGE 117 IV 35 mit Hinweisen). BGE 117 IV 165 S. 168 Gestützt auf diese Überlegungen wurde im soeben erwähnten Fall M. in teilweiser Abkehr von der bisherigen Rechtsprechung angenommen, einer von einem Garagisten für nicht ausgeführte Arbeiten hergestellten Rechnung komme kein Urkundencharakter zu. In einem weiteren Fall verneinte das Bundesgericht den Urkundencharakter einer zu Handen einer Anlegerin ausgestellten, fingierten Bestätigung, wonach der Aussteller einen von der Anlegerin einem Dritten übergebenen Geldbetrag auf treuhänderischer Basis verwalte und einen bestimmten Jahreszins entrichten werde (unveröffentlichtes Urteil des Kassationshofes vom 17. April 1991 i.S. W.). c) Die Vorinstanz sprach die Beschwerdeführer in bezug auf die inhaltlich unwahren Regierapporte (Tagesrapporte) der Falschbeurkundung schuldig. Sie verwies dabei auf die SIA-Norm 118 ("Allgemeine Bedingungen für Bauarbeiten", Ausgabe 1977). Diese ist ein privates Regelwerk, das vom Schweizerischen Ingenieur- und Architektenverein herausgegeben wird (vgl. PETER GAUCH, Kommentar zur SIA-Norm 118, Art. 157-190, Zürich 1991, S. 21 ff.). Gemäss Art. 47 der SIA-Norm erstellt der Unternehmer täglich einen von ihm unterzeichneten Rapport, worin Arbeiterzahl, Maschinenstunden, Arbeitsstunden, Materialverbrauch usw. sowie Angaben über die geleistete Arbeit aufgeführt werden; die Bauleitung prüft jeden Rapport unverzüglich und gibt dem Unternehmer die für ihn bestimmte Anzahl Exemplare innert sieben Tagen unterzeichnet zurück; Differenzen über den Inhalt des Rapportes werden von der Bauleitung auf allen Exemplaren unter Angabe ihres Gegenstandes vermerkt und sind innert Monatsfrist zu bereinigen. Die Vorinstanz stellte zu Recht fest, dass den Regierapporten innerhalb der SIA-Norm 118 für die Abrechnung eine wesentliche Bedeutung zukommt. Der SIA-Norm als ein privates Regelwerk kommt keine allgemeine Verbindlichkeit im Sinne eines Gesetzes oder einer Verordnung zu (vgl. PETER GAUCH a.a.O., S. 24 Ziff. 2). Dies ändert jedoch nichts daran, dass sie jedenfalls in den Bereichen, in denen sie inhaltlich nicht zu beanstanden ist (vgl. dazu BGE 109 II 452 ff.; SCHUBARTH, ZSR 1987 I 473f.; ENGEL, ZSR 1991 I 48; KRAMER, Berner Kommentar, Art. 19 OR N 270 ff.; ebenso bereits Art. 1 N 173 ff.) für diejenigen, die sich ihr unterwerfen, von ähnlich hoher Bedeutung wie ein Gesetz ist. Da insbesondere den Regierapporten für die Abrechnung zwischen den Vertragsparteien eine grosse Bedeutung zukommt, könnte es sich BGE 117 IV 165 S. 169 rechtfertigen, die genannten Rapporte (wie Dokumente, die in die Buchhaltung eingehen) als Urkunden im Sinne des StGB zu behandeln. Dagegen spricht jedoch, dass in Art. 47 der SIA-Norm die Rapportpflicht des Unternehmers nicht für sich alleine steht. Ihr gegenüber besteht für den Bauherrn bzw. die Bauleitung (vgl. PETER GAUCH, a.a.O. S. 23 lit. d) die Verpflichtung, jeden Rapport unverzüglich zu prüfen und dem Unternehmer innert sieben Tagen unterzeichnet zurückzugeben. Ein Dokument, das gemäss ausdrücklicher Vorschrift oder Verabredung vom Empfänger geprüft und nach der Prüfung dem Aussteller unterschrieben zurückgegeben werden muss, stellt aber offensichtlich kein qualifiziertes Beweismittel dar. Es ist weder bestimmt noch geeignet, den Inhalt zu beweisen, muss es in dieser Hinsicht doch gerade vom Empfänger überprüft werden. Ist es inhaltlich unwahr, stellt es eine blosse schriftliche Lüge, nicht aber eine Urkunde dar (TRECHSEL, Strafgesetzbuch, Kurzkommentar, Zürich 1989, N 8 vor Art. 251). Zu Unrecht nimmt also die Vorinstanz an, selbst ohne Kontrolle und Gegenzeichnung der Regierapporte durch die Bauleitung seien diese geeignet, die erbrachten Leistungen zu beweisen. Allerdings wurden die Regierapporte von der Bauleitung unterschrieben. Die Vorinstanz verweist denn auch darauf, dass die von beiden Parteien unterzeichneten Regierapporte dem Nachweis dienen können, welchen Umfang der Aufwand des Unternehmers gehabt hat. In diesem Punkt geht der angefochtene Entscheid aber an der Sache vorbei. Dadurch, dass eine Drittperson nachträglich auf einem Dokument, das eine blosse schriftliche Lüge darstellt, ihre Unterschrift anbringt und dadurch sinngemäss behauptet, sie habe den Inhalt geprüft und für richtig befunden, ändert sich für den Aussteller insoweit nichts, als er nach wie vor nur schriftlich gelogen hat. Für die Frage des Urkundencharakters ist im übrigen auch unerheblich, wie schwierig für den Empfänger eine Kontrolle der Angaben auf dem Dokument ist und ob zwischen Empfänger und Aussteller ein besonderes Vertrauensverhältnis besteht; diese Fragen sind allenfalls für die Prüfung einer Verurteilung wegen Betrugs von Belang, sagen aber über die Urkundenqualität des Dokumentes nichts aus. Schliesslich verweist die Vorinstanz auf BGE 103 IV 184 , der analog heranzuziehen sei. In diesem Entscheid wurde festgestellt, einem Krankenschein komme strafrechtlich Urkundencharakter zu. Mit einem Krankenschein macht der Arzt gegenüber der BGE 117 IV 165 S. 170 Krankenkasse Leistungen für sich oder den Patienten geltend. Im Unterschied zum Regierapport ist beim Krankenschein davon auszugehen, dass der Arzt aufgrund seiner besonderen Stellung zur wahrheitsgetreuen Angabe verpflichtet und er deshalb auch besonders glaubwürdig ist und eine Überprüfung durch die Gegenpartei, die in Art. 47 Abs. 2 der SIA-Norm 118 für den Regierapport ausdrücklich verlangt wird, nicht vorgesehen ist. Krankenschein und Regierapport sind folglich nicht vergleichbar. Nach dem Gesagten hat die Vorinstanz mit ihrer Verurteilung wegen Falschbeurkundung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