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163</w:t>
      </w:r>
    </w:p>
    <w:p>
      <w:r>
        <w:t>Bundesgericht (BGE), 1991-01-01, DE</w:t>
      </w:r>
    </w:p>
    <w:p>
      <w:r>
        <w:rPr>
          <w:b/>
        </w:rPr>
        <w:t xml:space="preserve">Quelle: </w:t>
      </w:r>
      <w:r>
        <w:t>https://mcp.opencaselaw.ch/entscheid/bge_BGE_117_IV_163</w:t>
      </w:r>
    </w:p>
    <w:p>
      <w:r>
        <w:t>FR: ATF 117 IV 163</w:t>
      </w:r>
    </w:p>
    <w:p>
      <w:r>
        <w:t>IT: DTF 117 IV 163</w:t>
      </w:r>
    </w:p>
    <w:p>
      <w:pPr>
        <w:pStyle w:val="Heading2"/>
      </w:pPr>
      <w:r>
        <w:t>Regeste</w:t>
      </w:r>
    </w:p>
    <w:p>
      <w:r>
        <w:t>Regeste Art. 166 StGB; Unterlassung der Buchführung. Zur Erfüllung des subjektiven Tatbestandes genügt Eventualvorsatz (Präzisierung der Rechtsprechung).</w:t>
      </w:r>
    </w:p>
    <w:p>
      <w:r>
        <w:t>Regeste Art. 166 CP; violation de l'obligation de tenir une comptabilité. Du point de vue subjectif, le dol éventuel suffit à réaliser cette infraction (précision de la jurisprudence).</w:t>
      </w:r>
    </w:p>
    <w:p>
      <w:r>
        <w:t>Regesto Art. 166 CP; omissione della contabilità. Sotto il profilo soggettivo, il dolo eventuale è sufficiente perché sia realizzato tale reato (precisazione della giurisprudenza).</w:t>
      </w:r>
    </w:p>
    <w:p>
      <w:pPr>
        <w:pStyle w:val="Heading2"/>
      </w:pPr>
      <w:r>
        <w:t>Erwägungen</w:t>
      </w:r>
    </w:p>
    <w:p>
      <w:r>
        <w:rPr>
          <w:b/>
        </w:rPr>
        <w:t>E. 2</w:t>
      </w:r>
    </w:p>
    <w:p>
      <w:r>
        <w:t>a) Der Beschwerdeführer rügt eine Verletzung von Art. 166 StGB (Unterlassung der Buchführung), da der subjektive Tatbestand nicht erfüllt sei bzw. ihm die vorausgesetzte Verschleierungsabsicht nicht nachgewiesen werden könne. Zur Begründung bringt er, wie bereits im Berufungsverfahren, im wesentlichen vor, die Unterlassung der Buchführung sei nicht deshalb erfolgt, weil er den Vermögensstand der von ihm geführten Gesellschaften habe verschleiern wollen, sondern weil ihm nach dem Defekt bzw. nach der Wegnahme der die Buchhaltungsdaten speichernden EDV-Anlage durch die Leasinggeberin die finanziellen Mittel für die Fortführung der Buchhaltung gefehlt hätten; er habe aus finanziellen Gründen auch seinen Buchhalter (der zwischen Rücknahme der EDV-Anlage und dem Ende seines Arbeitsverhältnisses die Buchhaltung auf konventionelle Art und Weise weitergeführt habe) nicht ersetzen und auch keinen Treuhänder bezahlen können; interessierte Dritte hätten ja den Vermögensstand der Gesellschaften über das Betreibungsamt oder zum Beispiel über die Firma C. abklären können. b) Eine Bestrafung nach Art. 166 StGB ist nur bei vorsätzlichem Verhalten möglich. Vorsatz bedeutet insbesondere, dass sich der Schuldner seiner Buchführungspflicht bewusst sein und die möglichen Konsequenzen der Verletzung dieser Pflicht, nämlich eine Verschleierung der finanziellen Situation, erkennen muss. Dabei genügt (entgegen gewissen missverständlichen Formulierungen in BGE 72 IV 19 ) Eventualvorsatz. Die erforderliche Inkaufnahme BGE 117 IV 163 S. 165 von Unklarheiten über den Vermögensstand heisst indessen nicht, dass die Verschleierung desselben das eigentliche Handlungsziel zu sein braucht (STRATENWERTH, BT I, 3. Aufl., S. 307; ALBRECHT, Kommentar zum schweizerischen Strafrecht, BT 2. Band, N 18 zu Art. 166 StGB mit weiteren Hinweisen; TRECHSEL, StGB-Kurzkommentar, N 4 zu Art. 166). c) Die Vorinstanz stellte im Rahmen ihrer Beweiswürdigung fest, zumindest der Eventualvorsatz, dass der Vermögensstand "nicht oder nicht vollständig ersichtlich" war bzw. verschleiert wurde, sei beim Beschwerdeführer "klar ausgewiesen". An diese tatsächliche Feststellung über den sog. inneren Sachverhalt, das Wissen und Wollen des Beschwerdeführers, ist der Kassationshof gebunden; sie ist mit der Nichtigkeitsbeschwerde nicht anfechtbar (Art. 273 Abs. 1 lit. b, 277bis Abs. 1 BStP; BGE 109 IV 47 E. 1, BGE 107 IV 192 E. 5; vgl. insbesondere auch BGE 77 IV 166 ). Nachdem aber Eventualvorsatz zur Erfüllung des subjektiven Tatbestandes von Art. 166 StGB genügt, erweist sich die Beschwerde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