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570</w:t>
      </w:r>
    </w:p>
    <w:p>
      <w:r>
        <w:t>Bundesgericht (BGE), 1991-01-01, DE</w:t>
      </w:r>
    </w:p>
    <w:p>
      <w:r>
        <w:rPr>
          <w:b/>
        </w:rPr>
        <w:t xml:space="preserve">Quelle: </w:t>
      </w:r>
      <w:r>
        <w:t>https://mcp.opencaselaw.ch/entscheid/bge_BGE_117_II_570</w:t>
      </w:r>
    </w:p>
    <w:p>
      <w:r>
        <w:t>FR: ATF 117 II 570</w:t>
      </w:r>
    </w:p>
    <w:p>
      <w:r>
        <w:t>IT: DTF 117 II 570</w:t>
      </w:r>
    </w:p>
    <w:p>
      <w:pPr>
        <w:pStyle w:val="Heading2"/>
      </w:pPr>
      <w:r>
        <w:t>Regeste</w:t>
      </w:r>
    </w:p>
    <w:p>
      <w:r>
        <w:t>Regeste Aktienrechtliche Verantwortlichkeit; Organbegriff gemäss Art. 754 Abs. 1 OR. 1. Allgemeine Voraussetzungen der materiellen Organstellung im Sinne von Art. 754 Abs. 1 OR; insbesondere Abgrenzung zum Organ gemäss Art. 55 ZGB (E. 3). 2. Umstände, die im konkreten Fall gegen eine Haftung als materielles Organ sprechen (E. 4).</w:t>
      </w:r>
    </w:p>
    <w:p>
      <w:r>
        <w:t>Regeste Responsabilité dans le droit de la société anonyme; notion d'organe selon l'art. 754 al. 1 CO. 1. Définition de l'organe au sens matériel selon l'art. 754 al. 1 CO; en particulier, délimitation par rapport à l'organe au sens de l'art. 55 CC (consid. 3). 2. Circonstances s'opposant, dans le cas concret, à une responsabilité de l'organe au sens matériel (consid. 4).</w:t>
      </w:r>
    </w:p>
    <w:p>
      <w:r>
        <w:t>Regesto Responsabilità nella società anonima; nozione d'organo secondo l'art. 754 cpv. 1 CO. 1. Definizione della funzione materiale d'organo ai sensi dell'art 754 cpv. 1 CO; in particolare delimitazione dalla nozione d'organo dell'art. 55 CC (consid. 3). 2. Circostanze che, nel caso concreto, si oppongono ad una responsabilità dell'organo in senso materiale (consid. 4).</w:t>
      </w:r>
    </w:p>
    <w:p>
      <w:pPr>
        <w:pStyle w:val="Heading2"/>
      </w:pPr>
      <w:r>
        <w:t>Erwägungen</w:t>
      </w:r>
    </w:p>
    <w:p>
      <w:r>
        <w:rPr>
          <w:b/>
        </w:rPr>
        <w:t>E. 3</w:t>
      </w:r>
    </w:p>
    <w:p>
      <w:r>
        <w:t>Gemäss Art. 754 Abs. 1 OR sind alle mit der Verwaltung oder Geschäftsführung betrauten Personen der Gesellschaft gegenüber für den Schaden verantwortlich, den sie durch absichtliche oder fahrlässige Verletzung der ihnen obliegenden Pflichten verursachen. Als mit der Verwaltung oder Geschäftsführung betraut im Sinne dieser Bestimmung gelten nach Lehre und Rechtsprechung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114 V 218 E. 4e, BGE 112 II 185 E. 5a, BGE 107 II 353 E. 5; FORSTMOSER, Die aktienrechtliche Verantwortlichkeit, 2. Aufl., S. 205 ff. Rz. 638 ff.; BÜRGI/NORDMANN, N. 119 zu Art. 753/4 OR). In der neueren Literatur wird zudem darauf hingewiesen, dass die Organeigenschaft auch dann anzunehmen sei, wenn nach dem Vertrauensgrundsatz aus den äusseren Umständen auf eine solche Stellung geschlossen werden dürfe (FORSTMOSER, a.a.O., S. 214/5 Rz. 676 ff.). Der Kläger beruft sich ausserdem auf Lehre und Rechtsprechung zum Organbegriff von Art. 55 ZGB . Als Organe im Sinne dieser Vorschrift gelten diejenigen Funktionäre einer juristischen Person, die nach Gesetz, Statuten oder einem davon abgeleiteten Reglement zur Erfüllung gesellschaftlicher Aufgaben berufen sind oder tatsächlich und erkennbar solche Aufgaben selbständig besorgen (OFTINGER/STARK, Schweiz. Haftpflichtrecht, Bd. II/1, S. 274 Rz. 15; GUTZWILLER, SPR Bd. II, S. 489 ff.; RIEMER, N. 100 ff. zu Art. 69 ZGB ). Organe sind nach der Rechtsprechung auch jene Personen, die unter der Aufsicht des obersten Verwaltungsausschusses einer juristischen Person deren eigentliche Geschäftsführung BGE 117 II 570 S. 572 besorgen oder sich sonst in leitender Stellung betätigen ( BGE 104 II 197 mit Hinweisen). Im allgemeinen wird der Kreis der gemäss Art. 754 Abs. 1 OR haftenden jenem der nach Art. 55 ZGB verantwortlichen Personen weitgehend gleichzusetzen sein. Eine Übereinstimmung ist jedenfalls dann anzustreben, wenn die für die Gesellschaft handelnde Person für Schaden verantwortlich gemacht wird, den sie unmittelbar einem Dritten verursacht hat. Denn in diesem Fall decken sich die Haftungsgrundlagen, sofern das beanstandete Verhalten nicht nur gesellschaftsintern pflichtwidrig ist, sondern auch eine unerlaubte Handlung darstellt (WATTER, Die Verpflichtung der AG aus rechtsgeschäftlichem Handeln ihrer Stellvertreter, Prokuristen und Organe, speziell bei sogenanntem "Missbrauch der Vertretungsmacht", Diss. Zürich 1985, S. 94 ff., Rz. 143 und 145). Nicht selbstverständlich ist dagegen die Gleichsetzung, falls es um den Ersatz von Gesellschaftsschaden und von mit diesem kongruentem mittelbarem Drittschaden geht (DRUEY, Organ und Organisation - Zur Verantwortlichkeit aus aktienrechtlicher Organschaft, SAG 53/1981, S. 77 ff.; WATTER, a.a.O., S. 91 Rz. 140). Die allgemeine Organhaftung beruht auf dem Gedanken der Verkörperung der juristischen Person nach aussen, der externen Vertretungsmacht. Sie dient vorab der Zurechnung vertretungsgemässen Handelns sowie der Abgrenzung zur Haftung für Hilfspersonen gemäss Art. 101 OR . Die Verantwortlichkeit für Gesellschaftsschaden und mittelbaren Gläubigerschaden gründet demgegenüber auf der Missachtung oder dem Missbrauch von Befugnissen und Pflichten des Innenverhältnisses, auf der Verletzung der gesellschaftsinternen Struktur- und Handlungsprinzipien, das heisst von Pflichten, die sich aus der gesellschaftsrechtlichen Stellung ergeben (dazu DRUEY, a.a.O., S. 81; WATTER, a.a.O., S. 98 Rz. 145). Diese allgemeinen Gesichtspunkte sind im Einzelfall zu beachten. Sie müssen zu einer differenzierten Beurteilung führen und rechtfertigen es, dem verantwortlichkeitsrechtlichen Organbegriff in Berücksichtigung der konkreten Gesellschaftsstrukturen angemessene Grenzen zu setzen (DRUEY, a.a.O., S. 79). Die materielle Organstellung im Sinne von Art. 754 Abs. 1 OR bedingt zwingend eine tatsächliche oder allenfalls auch nur gegen aussen kundgegebene organisatorische Eingliederung in die Willensbildung der Gesellschaft. Zudem setzt die aktienrechtliche Verantwortlichkeit erst dort ein, wo die vertragliche, insbesondere arbeitsvertragliche Haftung aufgrund der organisatorischen und hierarchischen Stellung BGE 117 II 570 S. 573 des Verantwortlichen nicht mehr als ausreichend oder sachgerecht erscheint (WATTER, a.a.O., S. 96 Rz. 144). Das ist in der Regel nur dann der Fall, wenn nicht eine blosse Führung der Geschäfte, sondern deren Leitung aufgrund selbständiger Entschlüsse vorliegt (DRUEY, a.a.O., S. 79). Zu berücksichtigen ist zudem, dass die aktienrechtliche Verantwortlichkeit an die Missachtung jener Pflichten anknüpft, welche dem Organ durch seine gesellschaftsrechtliche Stellung, durch das dadurch gegebene Sonderverhältnis auferlegt sind (DRUEY, a.a.O., S. 81). Deshalb soll dieser Verantwortlichkeit nur unterstehen, wer sich nach der internen oder nach aussen kundgegebenen Gesellschaftsorganisation in einem solchen Sonderverhältnis befindet und die sich daraus ergebenden Pflichten in eigener Entscheidungsbefugnis zu erfüllen hat. Eine blosse Mithilfe bei der Entscheidfassung genügt nicht. An weitreichenden gesellschaftsrechtlichen oder -politischen Entscheiden wirkt in grösseren Gesellschaften oder Konzernen in der Regel ein breiter Kreis von auch hierarchisch untergeordneten Angestellten mit. Zu denken ist etwa an die Vorbereitung der Entschlussfassung durch die Bereitstellung technischer, kaufmännischer oder juristischer Grundlagen. Werden dabei Fehler im Sinne gesellschaftsrechtlicher Pflichtwidrigkeiten begangen, so richten sich deren Folgen vorab nach dem konkreten Vertragsverhältnis zur Gesellschaft. Die aktienrechtliche, organschaftliche Verantwortlichkeit greift dagegen nur dann Platz, wenn die Kompetenzen der Beteiligten wesentlich über die Vorbereitung und Grundlagenbeschaffung hinausgehen und sich zu einer massgebenden Mitwirkung bei der Willensbildung verdichten. Richtig ist daher, dass die aktienrechtliche Verantwortlichkeit für die Geschäftsführung grundsätzlich nur die oberste Leitung einer Gesellschaft, die oberste Schicht der Hierarchie trifft (DRUEY, a.a.O., S. 79).</w:t>
      </w:r>
    </w:p>
    <w:p>
      <w:r>
        <w:rPr>
          <w:b/>
        </w:rPr>
        <w:t>E. 4</w:t>
      </w:r>
    </w:p>
    <w:p>
      <w:r>
        <w:t>In Übereinstimmung mit diesen Grundsätzen ist die Vorinstanz zu Recht zum Ergebnis gelangt, die Beklagten W., G. und K. seien mangels Organeigenschaft im Sinne von Art. 754 Abs. 1 OR nicht passivlegitimiert. Was der Kläger in rechtlicher Hinsicht dagegen vorbringt, erweist sich als unbegründet. a) So kann aus dem Umstand allein, dass die Beklagten W. und G. gemäss Handelsregister für die K. Holding AG zeichnungsberechtigt waren, nicht ohne weiteres ihre Organeigenschaft abgeleitet werden, zumal der Eintrag keinerlei Hinweis auf eine leitende Stellung enthielt (FORSTMOSER, a.a.O., S. 209 Rz. 655 f.). Dass BGE 117 II 570 S. 574 sodann alle drei Beklagten in den Tochter- und Enkelgesellschaften der K. Holding AG Organstellungen eingenommen haben sollen, ist in diesem Zusammenhang nicht von Bedeutung. Es entspricht zwar überwiegender Lehrmeinung, die herrschende Gesellschaft und ihre Organe bei Einmischung in die Verwaltung und Geschäftsführung der konzernmässig untergeordneten Gesellschaften ihnen gegenüber aus Art. 754 Abs. 1 OR verantwortlich zu machen (FORSTMOSER, a.a.O., S. 222/3 Rz. 708 ff.; DRUEY, a.a.O., S. 78; BÜRGI/NORDMANN, N. 123/4 zu Art. 753/4 OR). Diese Beurteilung lässt sich indessen nicht ohne weiteres auf den umgekehrten Fall übertragen, denn das hierarchische Konzernprinzip mag zwar oft zu einer Einmischung "von oben" führen, eine Einmischung "von unten" kennt es dagegen im allgemeinen nicht. Im vorliegenden Fall ist denn auch nicht erwiesen, dass die Organe der Tochter- und Enkelgesellschaften kraft ihrer Stellung einen entscheidenden Einfluss auf die Willensbildung der Holdinggesellschaft ausgeübt haben. Als gegenteiliges Indiz ist vielmehr der Umstand anzusehen, dass die drei Beklagten - obschon als Führungsgremium der untergeordneten Konzerngesellschaften amtierend - an den Verwaltungsratssitzungen der Holdinggesellschaft nur mit beratender Stimme oder als Gäste teilnahmen (FORSTMOSER, a.a.O., S. 211/2 Rz. 665/6). In die gleiche Richtung deutet ausserdem, dass das Gremium selbst bei der Führung der Tochter- und Enkelgesellschaften weisungsmässig stark an die Konzernspitze gebunden war und selbständige Entscheidungen lediglich innerhalb eines vorgegebenen Rahmens, insbesondere des konzernmässig genehmigten Budgets treffen durfte. b) Zu Recht hat das Obergericht sodann darauf hingewiesen, dass die von den Beklagten W., G. und K. für die Holdinggesellschaft allgemein ausgeübten Tätigkeiten nicht Handlungen betrafen, die gemeinhin den Gesellschaftsorganen vorbehalten sind. Im Vordergrund stand offensichtlich die subordinierte Führung der Geschäfte und nicht deren Leitung. Die drei Beklagten sind zudem auch gesellschaftsintern nicht als Organe der K. Holding AG betrachtet worden. Das lässt sich mit der Vorinstanz daraus ableiten, dass sie am Déchargebeschluss vom 30. Oktober 1984 unangefochten mitgewirkt haben. Insbesondere ist nicht festgestellt, der Kläger habe sich dieser Mitwirkung widersetzt. Dass die drei Beklagten bestimmte Grundlagen für die Verkaufsverhandlungen erarbeitet haben, reicht nach dem Gesagten BGE 117 II 570 S. 575 ebenfalls nicht aus, um ihre Organeigenschaft zu begründen. Das gilt umso mehr, als vom Obergericht verbindlich festgestellt worden ist, diese Unterlagen seien im Hinblick auf die Beschlussfassung durch den Verwaltungsrat der K. Holding AG erstellt worden. Gleich verhält es sich mit den vom Beklagten G. vorgelegten Bilanzen, denn nichts deutet darauf hin, dass er diese nicht bloss in arbeitsvertraglicher, sondern in gesellschaftsrechtlicher Stellung angefertigt hat. Nicht einzusehen ist schliesslich, warum die Anwendung seiner besonderen Kenntnisse bezüglich der elektronischen Datenverarbeitung die Organeigenschaft des Beklagten K. begründen soll. Erstellt ist einzig, dass alle drei Beklagten aufgrund ihrer Sachkenntnisse und wegen den ihnen unterstellten Sachbereichen im Konzern für die Grundlagenerarbeitung gesellschaftlicher Entscheide herangezogen worden sind, nicht aber auch, dass sie daran in massgebend leitender Stellung mitgewirkt haben. Das gilt nach den Feststellungen der Vorinstanz auch insoweit, als der Beklagte W. zusammen mit den Verwaltungsräten B. und S. der Verhandlungs- und Verkaufsdelegation angehört hat. Im angefochtenen Urteil wird festgehalten, zwar seien die Fachkenntnisse von W. für die Delegation wichtig gewesen, ausschlaggebend sei aber, dass die Verkaufsverträge lediglich von den zwei Verwaltungsräten unterzeichnet worden seien, die aufgrund ihrer eindeutigen Organstellung die Entscheide zu treffen und zu verantworten hätten. Auch in diesem Zusammenhang fehlen somit Feststellungen, welche auf eine Organstellung der Beklagten W., G. und K. schliessen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