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47</w:t>
      </w:r>
    </w:p>
    <w:p>
      <w:r>
        <w:t>Bundesgericht (BGE), 1991-01-01, FR</w:t>
      </w:r>
    </w:p>
    <w:p>
      <w:r>
        <w:rPr>
          <w:b/>
        </w:rPr>
        <w:t xml:space="preserve">Quelle: </w:t>
      </w:r>
      <w:r>
        <w:t>https://mcp.opencaselaw.ch/entscheid/bge_BGE_117_II_47</w:t>
      </w:r>
    </w:p>
    <w:p>
      <w:r>
        <w:t>FR: ATF 117 II 47</w:t>
      </w:r>
    </w:p>
    <w:p>
      <w:r>
        <w:t>IT: DTF 117 II 47</w:t>
      </w:r>
    </w:p>
    <w:p>
      <w:pPr>
        <w:pStyle w:val="Heading2"/>
      </w:pPr>
      <w:r>
        <w:t>Regeste</w:t>
      </w:r>
    </w:p>
    <w:p>
      <w:r>
        <w:t>Regeste Art. 20 Abs. 1 und Art. 23 ff. OR. Kantonale Ordnung des Architektenberufes; Architektenvertrag; Gültigkeit. Der mit einem Architekten, der zur Ausübung des Architektenberufes nach kantonalem Recht nicht berechtigt ist, abgeschlossene Vertrag ist - Willensmängel vorbehalten - gültig.</w:t>
      </w:r>
    </w:p>
    <w:p>
      <w:r>
        <w:t>Regeste Art. 20 al. 1 et art. 23 ss CO. Réglementation cantonale de la profession d'architecte; contrat d'architecte; validité. Sous réserve des vices du consentement, le contrat passé avec un architecte qui n'est pas autorisé à pratiquer par le droit cantonal est valide.</w:t>
      </w:r>
    </w:p>
    <w:p>
      <w:r>
        <w:t>Regesto Art. 20 cpv. 1 e art. 23 segg. CO. Disciplina cantonale della professione d'architetto; contratto d'architetto; validità. Con riserva dei vizi del consenso, è valido il contratto concluso con un architetto non autorizzato dal diritto cantonale a praticare.</w:t>
      </w:r>
    </w:p>
    <w:p>
      <w:pPr>
        <w:pStyle w:val="Heading2"/>
      </w:pPr>
      <w:r>
        <w:t>Erwägungen</w:t>
      </w:r>
    </w:p>
    <w:p>
      <w:r>
        <w:rPr>
          <w:b/>
        </w:rPr>
        <w:t>E. 2</w:t>
      </w:r>
    </w:p>
    <w:p>
      <w:r>
        <w:t>Les défendeurs invoquent la nullité du contrat d'architecte pour le motif que l'objet du contrat aurait été impossible et illicite. a) Un contrat est nul en vertu de l' art. 20 al. 1 CO si son contenu est illicite, mais il ne l'est pas si la seule participation subjective d'une partie à ce contrat est interdite ( ATF 114 II 280 et les arrêts cités). Selon une jurisprudence constante, lorsque la loi ne consacre pas expressément la nullité d'un acte violant une disposition légale, cette conséquence juridique ne doit être admise que si elle résulte du sens et du but de la disposition en cause, c'est-à-dire si elle est appropriée à l'importance de l'effet combattu ( ATF 115 II 364 consid. 4a et les arrêts cités). S'agissant de l'illicéité d'un contrat, l' art. 20 CO ne distingue pas selon que celle-ci découle de violations du droit fédéral ou du droit cantonal ( art. 19 al. 2 CO ; ATF 114 II 281 consid. 2a et la référence), à la condition toutefois, dans cette dernière hypothèse, que le législateur cantonal soit compétent pour promulguer la réglementation en cause ( ATF 80 II 329 consid. 2). La jurisprudence a refusé de déclarer nul un contrat de courtage passé avec des courtiers étrangers ayant exercé leur activité en Suisse sans autorisation de la police des étrangers pour le motif que l'interdiction de cette activité ne touchait pas au contenu du contrat, mais à la seule participation subjective d'une des parties ( ATF 114 II 281 consid. 2b et l'arrêt cité). En revanche, si la loi interdit à une personne la conclusion d'un contrat et si les intérêts de la collectivité sont en cause, comme par exemple la santé publique, le contrat sera nul (ENGEL, Traité des obligations en droit suisse, p. 195). Le médecin, l'avocat et le notaire notamment devraient ainsi bénéficier d'une autorisation pour conclure valablement un contrat (TERCIER, La partie spéciale du Code des obligations, n. 2934). Le Tribunal fédéral n'a jamais eu à résoudre le cas du contrat passé avec un architecte qui n'est pas autorisé à pratiquer par le droit cantonal. Dans un cas analogue, il n'a que posé le principe BGE 117 II 47 S. 49 selon lequel les registres publics indiquant les personnes autorisées à pratiquer une profession ne sont pas censés connus au sens de l' art. 9 CC (arrêt C. contre M. du 16 juin 1965, consid. 1, in RJN 1961-1965, p. 221). b) Certaines juridictions cantonales se sont prononcées sur cette question. Ainsi, la Cour d'appel du Tribunal cantonal du canton de Fribourg a admis que la législation cantonale peut interdire que les plans mis à l'enquête soient signés par un architecte ne figurant pas sur la liste officielle, sans que cela empêche un propriétaire de charger un tel architecte d'établir des plans. Selon elle, cette question a d'autant moins d'importance si ledit architecte a des associés figurant sur la liste officielle et que l'un d'eux a apposé sa signature sur les plans (Extraits 1976, p. 38). En revanche, la Cour de cassation civile du canton de Neuchâtel a retenu que les plans établis par une personne qui n'est pas inscrite dans le registre des architectes neuchâtelois sont inutilisables. Elle n'a toutefois pas tranché si, en pareil cas, la prestation est impossible ( art. 20 CO ), inexécutée ( art. 82 CO ) ou entachée d'un vice rédhibitoire ( art. 398 CO ; RJN 1961-1965, p. 220). La doctrine est divisée. TERCIER, qui approuve la décision neuchâteloise susmentionnée, estime que, lorsque l'objet essentiel du contrat concerne une activité pour laquelle la condition de l'inscription dans un registre cantonal est exigée, le contrat est nul en raison de son exécution objectivement impossible ( art. 20 CO ). Il considère toutefois que cette opinion ne contredit pas le point de vue du Tribunal cantonal fribourgeois, rappelé ci-dessus, qu'un propriétaire peut charger un architecte non inscrit d'établir des plans (La formation du contrat et les clauses d'architecte, in Le droit de l'architecte, n. 163-166). DESSEMONTET, en revanche, opte en faveur de la possibilité d'annuler le contrat pour erreur essentielle car, écrit-il, "il convient de protéger le maître de bonne foi" (Quelques remarques à propos du contrat d'architecte, in Le centenaire du Code des obligations, p. 498). Cette dernière thèse doit être préférée à celle de la nullité. Sans doute les dispositions cantonales sur l'exercice de la profession d'architecte ont-elles pour but la protection du public mais, dans les rapports entre l'architecte et son mandant, celui-ci, lorsqu'il est de bonne foi, bénéficie d'une meilleure protection s'il a le choix de l'invalidité et du maintien du contrat. Lui en imposer la nullité irait à l'encontre de la sauvegarde de ses intérêts, et cela sans qu'on en discerne la raison d'être. Une nullité du contrat serait d'autant plus choquante lorsque, comme BGE 117 II 47 S. 50 dans la présente espèce, l'architecte a fourni sa prestation. Le fait que le travail exécuté ne donne pas en tout point satisfaction n'est pas déterminant du moment que, conformément au jugement attaqué et à l'expertise sur laquelle il se fonde, il se tient dans des limites admissibles. Le nouvel architecte n'a pas fait mieux que le demandeur. Les imperfections des plans de ce dernier n'ont rien enlevé à leur utilité du point de vue administratif puisque le permis de construire a été délivré. Ils correspondent à ce qu'auraient fourni d'autres architectes. c) Il découle de ce qui vient d'être exposé que, sous réserve d'éventuels vices du consentement, le contrat litigieux est valide. Le grief des défendeurs tiré de l'impossibilité juridique et celui de la nullité qui découlerait implicitement au moins de la loi vaudoise du 13 décembre 1966 sur la profession d'architecte tombent en conséquence à faux.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