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270</w:t>
      </w:r>
    </w:p>
    <w:p>
      <w:r>
        <w:t>Bundesgericht (BGE), 1991-01-01, FR</w:t>
      </w:r>
    </w:p>
    <w:p>
      <w:r>
        <w:rPr>
          <w:b/>
        </w:rPr>
        <w:t xml:space="preserve">Quelle: </w:t>
      </w:r>
      <w:r>
        <w:t>https://mcp.opencaselaw.ch/entscheid/bge_BGE_117_II_270</w:t>
      </w:r>
    </w:p>
    <w:p>
      <w:r>
        <w:t>FR: ATF 117 II 270</w:t>
      </w:r>
    </w:p>
    <w:p>
      <w:r>
        <w:t>IT: DTF 117 II 270</w:t>
      </w:r>
    </w:p>
    <w:p>
      <w:pPr>
        <w:pStyle w:val="Heading2"/>
      </w:pPr>
      <w:r>
        <w:t>Regeste</w:t>
      </w:r>
    </w:p>
    <w:p>
      <w:r>
        <w:t>Regeste Ungerechtfertigte fristlose Auflösung des Arbeitsvertrages; Abgeltung des Ferienanspruchs durch Geldleistung. Rechtsnatur und Gegenstand des aus der neuen Vorschrift von Art. 337c Abs. 1 OR abgeleiteten Anspruchs des Arbeitnehmers. Ausnahme von der Regel, wonach dem ungerechtfertigt fristlos entlassenen Arbeitnehmer auch das Recht auf eine Geldleistung als Abgeltung des Ferienanspruchs zusteht.</w:t>
      </w:r>
    </w:p>
    <w:p>
      <w:r>
        <w:t>Regeste Résiliation immédiate injustifiée du contrat de travail; paiement des vacances en espèces. Nature et objet de la prétention du travailleur fondée sur la règle nouvelle de l'art. 337c al. 1 CO. Exception au principe selon lequel le travailleur renvoyé abruptement sans justes motifs a également droit au paiement de ses vacances en espèces.</w:t>
      </w:r>
    </w:p>
    <w:p>
      <w:r>
        <w:t>Regesto Risoluzione immediata ingiustificata del contratto di lavoro; pagamento in denaro delle vacanze. Natura e oggetto della pretesa del lavoratore fondata sulla nuova norma dell'art. 337c cpv. 1 CO. Eccezione al principio secondo cui il lavoratore licenziato immediatamente senza causa grave ha anche diritto al pagamento in denaro delle vacanze.</w:t>
      </w:r>
    </w:p>
    <w:p>
      <w:pPr>
        <w:pStyle w:val="Heading2"/>
      </w:pPr>
      <w:r>
        <w:t>Erwägungen</w:t>
      </w:r>
    </w:p>
    <w:p>
      <w:r>
        <w:rPr>
          <w:b/>
        </w:rPr>
        <w:t>E. 3</w:t>
      </w:r>
    </w:p>
    <w:p>
      <w:r>
        <w:t>b) Selon la règle nouvelle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prétention du travailleur fondée sur cette disposition est donc une créance en dommages-intérêts et le contrat prend fin immédiatement, en droit, que la résiliation immédiate soit justifiée ou non (cf., notamment, BGE 117 II 270 S. 272 DUC, in: Les nouvelles dispositions du Code des obligations en matière de résiliation du contrat de travail, Lausanne Cedidac 1989, p. 29). Cette créance en dommages-intérêts comprend non seulement le salaire, mais aussi le droit aux vacances, remplacé par des prestations en argent, et la compensation des autres avantages résultant du contrat de travail, tels que les gratifications ou indemnités de départ (cf. REHBINDER, Schweizerisches Arbeitsrecht, 10e éd., p. 122; KUHN, Aktuelles Arbeitsrecht für die betriebliche Praxis, Teil 7, Kap. 3.9.1, p. 2). De l'avis de certains auteurs, cette nouvelle disposition implique que, dans tous les cas de licenciement immédiat injustifié, le travailleur peut faire valoir ses prétentions en espèces relatives aux vacances; l'ancienne pratique de la prise des vacances en nature après le licenciement immédiat, qui reposait sur la fiction de la conversion d'un tel licenciement en un licenciement ordinaire, doit, en conséquence, être définitivement bannie (BRUNNER/BÜHLER/WAEBER, Commentaire du contrat de travail, p. 192, n. 5 ad art. 337c). La disposition nouvelle de l'art. 337c CO remet certes en question la jurisprudence traditionnelle antérieure, selon laquelle le travailleur congédié avec effet immédiat et recevant son salaire pour le délai de congé ordinaire était, en principe, réputé avoir pris ses vacances durant ce délai (cf. AUBERT, Quatre cents arrêts sur le contrat de travail, n. 130 à 132). Cette jurisprudence avait d'ailleurs été déjà critiquée auparavant (cf. la note d'AUBERT, in SJ 1988 p. 580, et les arrêts cités par cet auteur). On ne peut cependant aller jusqu'à poser de façon absolue que le travailleur renvoyé abruptement sans justes motifs a toujours droit au paiement de ses vacances en espèces en plus de ce qu'il aurait gagné si les rapports de travail avaient pris fin normalement. Si le droit au paiement des vacances en espèces doit en tout cas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 337c al. 1 CO,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(cf. la note d'AUBERT déjà citée). En revanche, lorsque le travailleur, comme BGE 117 II 270 S. 273 en l'espèce, est indemnisé pour une longue période au cours de laquelle il ne travaille pas et n'a même guère de possibilités de trouver un emploi, on peut admettre que cette indemnité inclut le droit aux vacances. En raisonnant de la sorte, la cour cantonale n'a dès lors pas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