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211</w:t>
      </w:r>
    </w:p>
    <w:p>
      <w:r>
        <w:t>Bundesgericht (BGE), 1991-01-01, DE</w:t>
      </w:r>
    </w:p>
    <w:p>
      <w:r>
        <w:rPr>
          <w:b/>
        </w:rPr>
        <w:t xml:space="preserve">Quelle: </w:t>
      </w:r>
      <w:r>
        <w:t>https://mcp.opencaselaw.ch/entscheid/bge_BGE_117_II_211</w:t>
      </w:r>
    </w:p>
    <w:p>
      <w:r>
        <w:t>FR: ATF 117 II 211</w:t>
      </w:r>
    </w:p>
    <w:p>
      <w:r>
        <w:t>IT: DTF 117 II 211</w:t>
      </w:r>
    </w:p>
    <w:p>
      <w:pPr>
        <w:pStyle w:val="Heading2"/>
      </w:pPr>
      <w:r>
        <w:t>Regeste</w:t>
      </w:r>
    </w:p>
    <w:p>
      <w:r>
        <w:t>Regeste Abänderung des Scheidungsurteils; Herabsetzung einer Unterhaltsersatzrente (Art. 151 Abs. 1 und Art. 153 Abs. 2 ZGB). Eine Unterhaltsersatzrente im Sinne von Art. 151 Abs. 1 ZGB kann grundsätzlich auch bei einer Verbesserung der wirtschaftlichen Verhältnisse auf seiten des Rentenberechtigten herabgesetzt werden (Änderung der Rechtsprechung); Voraussetzung ist jedoch, dass die Verbesserung der wirtschaftlichen Verhältnisse erheblich ist und die neuen Gegebenheiten nach menschlichem Ermessen von Dauer sind; dem Herabsetzungsbegehren kann ferner nur dann entsprochen werden, wenn die Verbesserung der Einkommensverhältnisse des Rentenberechtigten im Zeitpunkt der Scheidung nicht vorauszusehen war.</w:t>
      </w:r>
    </w:p>
    <w:p>
      <w:r>
        <w:t>Regeste Modification d'un jugement de divorce; diminution d'une rente d'entretien (art. 151 al. 1 et art. 153 al. 2 CC). Une rente au sens de l'art. 151 al. 1 CC peut en principe aussi être diminuée en cas d'amélioration de la situation économique du bénéficiaire (changement de jurisprudence); il faut toutefois que l'amélioration soit importante et que les nouvelles conditions soient, à vues humaines, durables; la demande de réduction ne peut être admise que si, au surplus, l'amélioration des revenus du bénéficiaire n'était pas prévisible au moment du divorce.</w:t>
      </w:r>
    </w:p>
    <w:p>
      <w:r>
        <w:t>Regesto Modificazione della sentenza di divorzio; riduzione di una rendita compensativa (art. 151 cpv. 1 e art. 153 cpv. 2 CC). Una rendita ai sensi dell'art. 151 cpv. 1 CC può, in linea di principio, essere ridotta anche in caso di miglioramento delle condizioni economiche del beneficiario (cambiamento della giurisprudenza); occorre nondimeno che tale miglioramento sia considerevole e che la nuova situazione sia, secondo quanto possa essere ragionevolmente previsto, duratura; inoltre, la domanda di riduzione può essere accolta soltanto se il miglioramento delle condizioni economiche del beneficiario non era prevedibile al momento del divorzio.</w:t>
      </w:r>
    </w:p>
    <w:p>
      <w:pPr>
        <w:pStyle w:val="Heading2"/>
      </w:pPr>
      <w:r>
        <w:t>Erwägungen</w:t>
      </w:r>
    </w:p>
    <w:p>
      <w:r>
        <w:rPr>
          <w:b/>
        </w:rPr>
        <w:t>E. 1</w:t>
      </w:r>
    </w:p>
    <w:p>
      <w:r>
        <w:t>a) Gemäss Art. 153 Abs. 2 ZGB wird eine wegen Bedürftigkeit ausgesetzte Rente ( Art. 152 ZGB ) auf Verlangen des pflichtigen Ehegatten aufgehoben oder herabgesetzt, wenn die Bedürftigkeit nicht mehr besteht oder in erheblichem Masse abgenommen hat sowie wenn die Vermögensverhältnisse des Pflichtigen der Höhe der Rente nicht mehr entsprechen. Dass die Rente unter Umständen auf einer Vereinbarung der geschiedenen Ehegatten beruht, steht der Aufhebung oder Herabsetzung nicht entgegen (dazu BGE 105 II 168 f. E. 1). Zur Vermeidung von Härten lässt die bundesgerichtliche Rechtsprechung seit langem zu, dass auch eine Rente nach Art. 151 Abs. 1 ZGB - soweit zur Abgeltung des Verlustes des ehelichen Unterhaltsanspruchs bestimmt - herabgesetzt oder aufgehoben werden kann, wenn die Lage des Pflichtigen sich wesentlich verschlechtert hat ( BGE 110 II 114 f. E. 3b). b) Hingegen hat das Bundesgericht bisher stets dafürgehalten, eine Verbesserung der wirtschaftlichen Verhältnisse auf seiten des Berechtigten bilde bei der Unterhaltsersatzrente nach Art. 151 ZGB keinen Herabsetzungsgrund (dazu BGE 110 II 114 f. E. 3b mit Hinweis; vgl. auch BGE 115 II 316 E. 4a mit Hinweis; abweichend das Urteil des Obergerichts des Kantons Zürich vom 14. Mai 1947, veröffentlicht in: ZR 46/1947 Nr. 70). Unter Hinweis auf die Anregungen von HINDERLING (Das schweizerische Ehescheidungsrecht, 3. A., S. 144) und BÜHLER/SPÜHLER (N. 59 zu Art. 1 53 ZGB) sowie auf die Kritik von DESCHENAUX/TERCIER (Le mariage et le divorce, 3. A., S. 129, Rz. 673) vertritt der Beklagte die Ansicht, die bisherige Praxis sei aufzugeben und eine Verbesserung der wirtschaftlichen Verhältnisse auf seiten des Rentenberechtigten sei auch bei der Unterhaltsersatzrente als Herabsetzungsgrund zuzulassen (zu dieser Frage auch PIOTET, Des rapports entre les articles 151 et 152 CC, in: JdT 1986 I S. 100, und PETER SCHUMACHER, Die Abänderbarkeit der Unterhaltsersatzrente nach Art. 151 Abs. 1 ZGB , in: SJZ 87/1991, S. 93 ff.). BGE 117 II 211 S. 214</w:t>
      </w:r>
    </w:p>
    <w:p>
      <w:r>
        <w:rPr>
          <w:b/>
        </w:rPr>
        <w:t>E. 2</w:t>
      </w:r>
    </w:p>
    <w:p>
      <w:r>
        <w:t>a) Dass die der Klägerin gemäss Scheidungsurteil zustehende Rente ausschliesslich auf Art. 151 Abs. 1 ZGB beruht, anerkennt auch der Beklagte. Sein Standpunkt weicht jedoch insofern von der klägerischen Auffassung ab, als er die Rente in vollem Umfang als Entschädigung für den entgangenen ehelichen Unterhalt geschuldet wissen will, während die Klägerin in der Rente auch Ersatz für den Verlust von Ansprüchen güterrechtlicher Natur erblickt. b) Dem angefochtenen Urteil lässt sich entnehmen, dass das Obergericht die Rente mindestens zum Teil als Unterhaltsersatzrente betrachtet hat, begründet es doch die Abweisung der Widerklage damit, die Abänderung einer Rente nach Art. 151 Abs. 1 ZGB sei nur insoweit möglich, als sich die Verhältnisse auf seiten des Pflichtigen verschlechtert hätten. Aufgrund ihrer Betrachtungsweise hatte die Vorinstanz keinen Anlass, zu prüfen, in welchem Masse die zwischen den Parteien seinerzeit vereinbarte Rente allenfalls auch als Abgeltung von Anwartschaften gedacht war. Sollte die vom Beklagten mit gewichtigen Argumenten verlangte Überprüfung der bisherigen Rechtsprechung zum Schluss führen, dass der geltend gemachte Herabsetzungsgrund auch bei Unterhaltsersatzrenten gemäss Art. 151 Abs. 1 ZGB zum Tragen kommt, müsste die Sache nach dem Gesagten zur näheren Abklärung der Natur der strittigen Rente an das Obergericht zurückgewiesen werden.</w:t>
      </w:r>
    </w:p>
    <w:p>
      <w:r>
        <w:rPr>
          <w:b/>
        </w:rPr>
        <w:t>E. 3</w:t>
      </w:r>
    </w:p>
    <w:p>
      <w:r>
        <w:t>a) Bei Art. 151 Abs. 1 ZGB , wonach der schuldige Ehegatte dem schuldlosen Ehegatten eine angemessene Entschädigung zu entrichten hat, falls durch die Scheidung der Ehe dessen Vermögensrechte oder Anwartschaften beeinträchtigt werden, handelt es sich nach herrschender Auffassung um eine Bestimmung mit schadenersatzrechtlichen Zügen (dazu BGE 107 II 400 E. b; BÜHLER/SPÜHLER, N. 11 zu Art. 151 ZGB ; HAUSHEER, Das neue Eherecht und seine Auswirkungen auf die Scheidung, in: Berner Tage für die juristische Praxis 1987, S. 212; DESCHENAUX/TERCIER, a.a.O., S. 122 f., Rz. 634). Dies kommt auch in der jüngsten Rechtsprechung des Bundesgerichts zum Ausdruck, wo erklärt wird, Art. 151 Abs. 1 ZGB habe den Zweck, grundsätzlich den Schaden zu decken, der bei der Scheidung dadurch entstehe, dass die Versorgung der Ehegatten (und gegebenenfalls der Kinder) nicht mehr durch das einträchtige Zusammenwirken von Mann und Frau im gemeinsamen Haushalt gesichert sei ( BGE 115 II 8 f. E. 3). Soweit das Bundesgericht in seiner bisherigen Praxis ausdrücklich dargelegt hat, weshalb eine sinngemässe Anwendung von Art. 153 BGE 117 II 211 S. 215 Abs. 2 ZGB auf Unterhaltsersatzrenten nach Art. 151 Abs. 1 ZGB im Falle einer Verbesserung der wirtschaftlichen Verhältnisse auf seiten des Berechtigten nicht in Frage komme, hat es ebenfalls auf den Schadenersatzcharakter dieser Rente hingewiesen ( BGE 100 II 249 E. a). b) Dem Beklagten ist einzuräumen, dass eine streng schadenersatzrechtliche Betrachtungsweise eine nachträgliche Abänderung einer Unterhaltsersatzrente in jedem Fall, d.h. auch dann verbieten würde, wenn sie wegen einer (wesentlichen) Verminderung der wirtschaftlichen Leistungsfähigkeit des Rentenpflichtigen verlangt wird (so auch BÜHLER/SPÜHLER, N. 59 zu Art. 153 ZGB ). Allerdings finden - wie der Beklagte ebenfalls mit Recht bemerkt - die Grundsätze des allgemeinen Schadenersatzrechts schon bei der Festsetzung einer Rente nach Art. 151 Abs. 1 ZGB durch den Scheidungsrichter nicht uneingeschränkt Anwendung. Dass diese Bestimmung nicht Anspruch auf vollen Schadenersatz gewährt, hat das Bundesgericht etwa mit der Feststellung zum Ausdruck gebracht, der geschiedenen Ehefrau stehe für den Verlust des ehelichen Unterhaltsanspruchs gemäss Art. 160 Abs. 2 aZGB lediglich eine angemessene Entschädigung zu, die nicht die Beibehaltung des Lebensstandards vor der Scheidung ermögliche, aber in einem gewissen Masse, und soweit es die Verhältnisse rechtfertigten, die infolge der Scheidung wegfallenden wirtschaftlichen Vorteile ausgleichen solle (so BGE 98 II 165 E. 2). In andern Entscheiden wurde erklärt, die schadenersatzrechtlichen Grundsätze dürften nicht schematisch angewendet werden (vgl. BGE 109 II 290 ; BGE 108 II 82 ).</w:t>
      </w:r>
    </w:p>
    <w:p>
      <w:r>
        <w:rPr>
          <w:b/>
        </w:rPr>
        <w:t>E. 4</w:t>
      </w:r>
    </w:p>
    <w:p>
      <w:r>
        <w:t>a) Noch unter der Herrschaft des Eherechts, wie es bis zum 31. Dezember 1987 galt, ist das Bundesgericht davon ausgegangen, dass die Ehescheidung für die nach Art. 160 Abs. 2 aZGB unterhaltsberechtigte Frau nicht zwangsläufig zu einer dauernden wirtschaftlichen Einbusse führe und es deshalb nicht in jedem Fall gerechtfertigt sei, eine unbefristete Unterhaltsersatzrente zuzusprechen. Nach Massgabe der konkreten Gegebenheiten (Dauer der Ehe; Alter und Gesundheitszustand der Frau; Alter allfälliger Kinder) und Möglichkeiten (berufliche Fähigkeiten; Lage auf dem Arbeitsmarkt) ist der geschiedenen Ehefrau - gewissermassen im Sinne einer Schadenminderungspflicht (dazu HAUSHEER, a.a.O., S. 213) - zunehmend zugemutet worden, hauptsächlich vom Zeitpunkt an, da das Betreuungsbedürfnis allfälliger Kinder entscheidend nachgelassen hat, eine Erwerbstätigkeit anzunehmen BGE 117 II 211 S. 216 (vgl. BGE 109 II 185 ff.). Die bundesgerichtliche Rechtsprechung verlangt mit andern Worten schon seit einiger Zeit, dass im einzelnen Fall geprüft werde, ob die geschiedene Ehefrau sich auf längere Sicht eine wirtschaftliche Situation wird schaffen können, welche die durch die Scheidung erlittenen Nachteile auszugleichen vermag und die Zusprechung einer Unterhaltsersatzrente nur für eine bestimmte Zeit rechtfertigt (so BGE 111 II 306 ). Mit Rücksicht auf die Wandlungen in der Gesellschaft im allgemeinen und insbesondere auch auf die Tendenz, die Ehe immer mehr als partnerschaftliche Gemeinschaft zu betrachten, wurde mithin noch vor dem Inkrafttreten des neuen Eherechts damit begonnen, der wirtschaftlichen Leistungsfähigkeit der geschiedenen Frau stärker Rechnung zu tragen. b) Der neue, seit 1. Januar 1988 - gemäss Art. 8 Abs. 1 SchlTZGB auch für altrechtliche Ehen - geltende Art. 163 ZGB hat im Vergleich zum früheren Recht eine bedeutsame Änderung gebracht, indem nicht mehr grundsätzlich der Ehemann allein für den (finanziellen) Unterhalt von Frau und Kind aufzukommen hat (Art. 160 Abs. 2 aZGB), sondern nunmehr die Ehegatten gemeinsam, ein jeder nach seinen Kräften, für den Unterhalt der Familie zu sorgen haben ( Art. 163 Abs. 1 ZGB ). Dabei wird es den Ehegatten überlassen, sich über den Beitrag eines jeden zu verständigen. Dieser kann namentlich etwa durch Geldzahlungen, Besorgen des Haushaltes, Betreuen der Kinder oder durch Mithilfe im Beruf oder Gewerbe des andern Ehegatten erbracht werden ( Art. 163 Abs. 2 ZGB ). Die Ehefrau hat damit keinen gesetzlichen Anspruch mehr, ihren Beitrag durch die Führung des Haushaltes zu leisten und von einer Erwerbstätigkeit grundsätzlich befreit zu sein ( BGE 114 II 16 E. 3, 302 E. a). Eine solche anzunehmen, kann sie sich unter Umständen auch dann genötigt sehen, wenn sich die Ehegatten anfänglich auf eine andere Aufgabenteilung geeinigt haben, die Verhältnisse - etwa wegen Krankheit oder Verlust einer Arbeitsstelle, aber auch infolge Scheidung der Ehe - sich jedoch wesentlich verändert haben ( BGE 114 II 302 E. a). Zu beachten ist auch, dass die Leistungspflicht eines Ehegatten sich erhöhen kann, wenn seine Leistungsfähigkeit - beispielsweise als Folge eines beruflichen Aufstiegs - erheblich zugenommen hat (vgl. HAUSHEER, a.a.O., S. 221 f.; HAUSHEER/REUSSER/GEISER, Kommentar zum Eherecht, N. 46 zu Art. 163 ZGB ). c) Nach der dargelegten Praxis hat der Scheidungsrichter bei der Festsetzung von Höhe und Dauer einer Unterhaltsersatzrente BGE 117 II 211 S. 217 gemäss Art, 151 Abs. 1 ZGB schon seit einiger Zeit, hauptsächlich seit dem Inkrafttreten des neuen Eherechts, auch die Leistungsfähigkeit des anspruchsberechtigten Ehegatten einzubeziehen. Eine unvorhergesehene spätere Verbesserung dieser Leistungsfähigkeit vollkommen ausser acht zu lassen und eine entsprechende Abänderung der Rente in jedem Fall von vornherein zu verweigern, lässt sich nach dem Gesagten durch nichts rechtfertigen. In Abänderung der bisherigen Rechtsprechung ist deshalb davon auszugehen, dass grundsätzlich auch eine Unterhaltsersatzrente bei einer Verbesserung der wirtschaftlichen Verhältnisse auf seiten des rentenberechtigten Ehegatten herabgesetzt werden kann.</w:t>
      </w:r>
    </w:p>
    <w:p>
      <w:r>
        <w:rPr>
          <w:b/>
        </w:rPr>
        <w:t>E. 5</w:t>
      </w:r>
    </w:p>
    <w:p>
      <w:r>
        <w:t>a) Die Herabsetzung (oder Aufhebung) einer Rente aufgrund der hier sinngemäss heranzuziehenden Bestimmung von Art. 153 Abs. 2 ZGB fällt nur in Betracht, wenn sich die massgeblichen wirtschaftlichen Verhältnisse erheblich verändert haben und die neuen Gegebenheiten nach menschlichem Ermessen von Dauer sind ( BGE 96 II 302 E. 3); bloss vorübergehende Schwankungen vermögen einen Herabsetzungsanspruch nicht zu begründen (BÜHLER/SPÜHLER, N. 53 zu Art. 153 ZGB ). Wo die Klage - wie hier - mit einer Verbesserung der Einkommensverhältnisse des Rentenberechtigten begründet wird, kann ihr ausserdem nur dann entsprochen werden, wenn im Zeitpunkt der Scheidung nicht vorauszusehen war, dass der angerufene Umstand eintreten werde ( BGE 96 II 303 E. 5a). b) Das Obergericht, das die Widerklage des Beklagten gestützt auf die bisherige Praxis zur Herabsetzung von Unterhaltsersatzrenten aus grundsätzlichen Überlegungen abwies, hatte keinen Anlass, auf die genannten Punkte näher einzugehen und die erforderlichen tatsächlichen Feststellungen zu treffen. Das angefochtene Urteil ist deshalb aufzuheben, und die Sache ist an die Vorinstanz zurückzuweisen, damit diese einerseits abkläre, in welchem Masse der strittigen Rente Unterhaltsersatzcharakter zukommt (vgl. E. 2), und andererseits prüfe, ob die vom Beklagten geltend gemachte Verbesserung der klägerischen Einkommensverhältnisse erheblich und von Dauer sei und im Zeitpunkt der Scheidung nicht habe vorausgesehen werden können. Gegebenenfalls wird das Obergericht schliesslich zu entscheiden haben, in welchem Umfang die Rente herabzusetzen sei.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