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209</w:t>
      </w:r>
    </w:p>
    <w:p>
      <w:r>
        <w:t>Bundesgericht (BGE), 1991-01-01, DE</w:t>
      </w:r>
    </w:p>
    <w:p>
      <w:r>
        <w:rPr>
          <w:b/>
        </w:rPr>
        <w:t xml:space="preserve">Quelle: </w:t>
      </w:r>
      <w:r>
        <w:t>https://mcp.opencaselaw.ch/entscheid/bge_BGE_117_II_209</w:t>
      </w:r>
    </w:p>
    <w:p>
      <w:r>
        <w:t>FR: ATF 117 II 209</w:t>
      </w:r>
    </w:p>
    <w:p>
      <w:r>
        <w:t>IT: DTF 117 II 209</w:t>
      </w:r>
    </w:p>
    <w:p>
      <w:pPr>
        <w:pStyle w:val="Heading2"/>
      </w:pPr>
      <w:r>
        <w:t>Regeste</w:t>
      </w:r>
    </w:p>
    <w:p>
      <w:r>
        <w:t>Regeste Ausschluss der aufschiebenden Wirkung von Rechtsmitteln beim Gegendarstellungsrecht (Art. 28l Abs. 4 ZGB). Der Ausschluss der aufschiebenden Wirkung bezieht sich nur auf die Anordnung einer Gegendarstellung, nicht jedoch auf die im angefochtenen Entscheid getroffene Kostenregelung.</w:t>
      </w:r>
    </w:p>
    <w:p>
      <w:r>
        <w:t>Regeste Exclusion de l'effet suspensif des recours en matière de droit de réponse (art. 28l al. 4 CC). L'exclusion de l'effet suspensif a trait seulement à l'ordre de diffuser une réponse, non pas à la fixation des frais dans la décision attaquée.</w:t>
      </w:r>
    </w:p>
    <w:p>
      <w:r>
        <w:t>Regesto Esclusione del conferimento dell'effetto sospensivo ai ricorsi in materia di diritto di risposta (art. 28l cpv. 4 CC). L'esclusione dell'effetto sospensivo concerne soltanto l'ordine di diffondere una risposta, e non la determinazione delle spese contenuta nella decisione impugnata.</w:t>
      </w:r>
    </w:p>
    <w:p>
      <w:pPr>
        <w:pStyle w:val="Heading2"/>
      </w:pPr>
      <w:r>
        <w:t>Erwägungen</w:t>
      </w:r>
    </w:p>
    <w:p>
      <w:r>
        <w:rPr>
          <w:b/>
        </w:rPr>
        <w:t>E. 1</w:t>
      </w:r>
    </w:p>
    <w:p>
      <w:r>
        <w:t>c) Die Klägerin hat ferner das Begehren gestellt, die Rechtskraft des angefochtenen Entscheides sei mit Bezug auf die Kosten aufzuschieben, bis über die Berufung entschieden sei. Es fragt sich, ob ein solches Begehren überhaupt zulässig sei. Gemäss Art. 54 Abs. 2 OG wird der Eintritt der Rechtskraft des angefochtenen Entscheides im Umfang der Anträge durch die Berufung gehemmt. Art. 28l Abs. 4 ZGB bildet zu diesem Grundsatz eine Ausnahme, indem er bestimmt, dass Rechtsmittel im Bereich des Gegendarstellungsrechts keine aufschiebende Wirkung haben. Die Lehre zieht daraus den Schluss, dass aufschiebende Wirkung auch nicht durch die Gerichte erteilt werden könne (TERCIER, Le nouveau droit de la personnalité, Zürich 1984, Rz. 1734). Ein entsprechendes Gesuch müsste somit als unzulässig angesehen werden. Es fragt sich indessen, ob sich die dargelegte Abweichung von den sonst für die Berufung geltenden Regeln nur auf die Anordnung der Gegendarstellung oder auch auf den Kostenpunkt des angefochtenen Entscheides bezieht. Der Ausschluss der aufschiebenden Wirkung hat seinen Grund darin, dass eine Gegendarstellung nur einen Sinn hat, wenn sie rasch erfolgt. Würden Rechtsmittel die angeordnete Veröffentlichung hindern, bestünde die Gefahr, dass ein Medienunternehmen Verzögerungen herbeiführen könnte, die das Rechtsinstitut seines Sinnes beraubten (vgl. TERCIER, Rz. 1720 ff.). Dieser Zweck verlangt aber die sofortige Vollstreckbarkeit nur für die Gegendarstellung als solche, nicht auch für die Kosten. Die sofortige Vollstreckbarkeit BGE 117 II 209 S. 211 hätte hinsichtlich der Kosten vielmehr den Nachteil, dass das Medienunternehmen bereits bezahlte Kosten zurückfordern müsste, wenn sich sein Rechtsmittel als begründet erwiese. Die Anwendung von Art. 28l Abs. 4 ZGB auch auf den Kostenpunkt lässt sich daher nicht rechtfertigen (so auch Zürcher Obergericht, ZR 85/1986, Nr. 59; KARL MATTHIAS HOTZ, Kommentar zum Recht auf Gegendarstellung, Bern und Stuttgart 1987, S. 116). Die Klägerin hat die Aufhebung des angefochtenen Urteils auch im Kostenpunkt beantragt. Die Rechtskraft des angefochtenen Urteils ist insoweit von Gesetzes wegen durch die Berufung gehemmt. Das Begehren um aufschiebende Wirkung mit Bezug auf die der Klägerin auferlegten Kosten erweist sich somit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