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w:t>
      </w:r>
    </w:p>
    <w:p>
      <w:r>
        <w:t>Bundesgericht (BGE), 1991-01-01, DE</w:t>
      </w:r>
    </w:p>
    <w:p>
      <w:r>
        <w:rPr>
          <w:b/>
        </w:rPr>
        <w:t xml:space="preserve">Quelle: </w:t>
      </w:r>
      <w:r>
        <w:t>https://mcp.opencaselaw.ch/entscheid/bge_BGE_117_II_16</w:t>
      </w:r>
    </w:p>
    <w:p>
      <w:r>
        <w:t>FR: ATF 117 II 16</w:t>
      </w:r>
    </w:p>
    <w:p>
      <w:r>
        <w:t>IT: DTF 117 II 16</w:t>
      </w:r>
    </w:p>
    <w:p>
      <w:pPr>
        <w:pStyle w:val="Heading2"/>
      </w:pPr>
      <w:r>
        <w:t>Regeste</w:t>
      </w:r>
    </w:p>
    <w:p>
      <w:r>
        <w:t>Regeste Schutz der ehelichen Gemeinschaft; Unterhaltsbeiträge bei Aufhebung des gemeinsamen Haushaltes (Art. 176 Abs. 1 Ziff. 1 ZGB). Bei der Festsetzung der Unterhaltsbeiträge darf auf seiten des Unterhaltspflichtigen von einem über dem tatsächlichen Arbeitserwerb liegenden Verdienst ausgegangen werden, falls und soweit der Pflichtige bei ihm zuzumutender Anstrengung mehr zu verdienen vermöchte; soweit das Einkommen aus Vermögensertrag besteht, darf indessen nicht von einem hypothetischen Ertrag ausgegangen werden, wenn der Unterhaltspflichtige sich - aus welchen Gründen auch immer - seines Vermögens entäussert hat und der Vermögensschwund nicht rückgängig gemacht werden kann.</w:t>
      </w:r>
    </w:p>
    <w:p>
      <w:r>
        <w:t>Regeste Protection de l'union conjugale; contributions d'entretien en cas de suspension de la vie commune (art. 176 al. 1 ch. 1 CC). Pour fixer la contribution d'entretien, on ne peut prendre en compte un montant supérieur à celui que le débiteur obtient effectivement du revenu de son travail que dans la mesure où il pourrait gagner davantage en faisant l'effort qu'on peut raisonnablement exiger de lui. En tant que le revenu du débiteur provient du produit de la fortune, on ne peut en revanche pas partir d'un revenu hypothétique lorsque le débiteur a aliéné son patrimoine - pour quelque raison que ce soit - et qu'il n'est plus possible de le reconstituer.</w:t>
      </w:r>
    </w:p>
    <w:p>
      <w:r>
        <w:t>Regesto Protezione dell'unione coniugale; contributo per il mantenimento in caso di sospensione della comunione domestica (art. 176 cpv. 1 n. 1 CC). Ai fini della determinazione dei contributi per il mantenimento, è consentito prendere in considerazione un reddito superiore al reddito di lavoro conseguito effettivamente dal debitore, ove e nella misura in cui quest'ultimo sia in grado di ottenere un reddito maggiore impiegando sforzi che possano da lui ragionevolmente pretendersi; nondimeno, nella misura in cui il reddito del debitore sia costituito di reddito della sostanza, non ci si può fondare su di un reddito ipotetico qualora il debitore, per una ragione qualsiasi, abbia alienato la propria sostanza e non sia più possibile ricostituirla.</w:t>
      </w:r>
    </w:p>
    <w:p>
      <w:pPr>
        <w:pStyle w:val="Heading2"/>
      </w:pPr>
      <w:r>
        <w:t>Erwägungen</w:t>
      </w:r>
    </w:p>
    <w:p>
      <w:r>
        <w:rPr>
          <w:b/>
        </w:rPr>
        <w:t>E. 1</w:t>
      </w:r>
    </w:p>
    <w:p>
      <w:r>
        <w:t>a) Das Obergericht stellt unangefochten fest, der heute vermögenslose Beschwerdeführer habe seinen beiden Kindern seit 1987 mindestens Fr. 620'000.-- geschenkt, und zwar im vollen Wissen darum, dass er gemäss aussergerichtlicher Vereinbarung vom 28. November 1973 der Beschwerdegegnerin monatliche Unterhaltsbeiträge von nunmehr Fr. 3'800.-- zu bezahlen verpflichtet sei. Die kantonale Rekursinstanz hat dieses Verhalten als rechtsmissbräuchlich bezeichnet und deshalb dafürgehalten, dass im Hinblick auf die Berechnung der der Beschwerdegegnerin zustehenden Unterhaltsbeiträge zu dem aus einer AHV-Rente von Fr. 1'200.-- bestehenden monatlichen Einkommen des Beschwerdeführers ein hypothetischer Vermögensertrag von rund Fr. 2'100.-- hinzuzuschlagen sei. b) Insbesondere unter Hinweis darauf, dass es ihm nicht möglich sei, einen derartigen Vermögensertrag zu erzielen, hält der Beschwerdeführer die obergerichtliche Betrachtungsweise zu Recht für willkürlich: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(vgl. BGE 110 II 117 E. 2a mit Hinweisen; BGE 77 II 112 E. 2; BGE 51 II 102 E. 3; BÜHLER/SPÜHLER, N 139 f. zu Art. 145 ZGB mit Hinweisen); wo die reale Möglichkeit einer Einkommenssteigerung fehlt, muss eine solche jedoch ausser Betracht bleiben (vgl. SJZ 81/1985, S. 390 Nr. 72; KEHL-ZELLER, Die Unterhaltsansprüche der Ehegatten während der Ehe, 2. A., S. 16 f.). Was für das Einkommen und den Vermögensertrag als Bestandteil des Einkommens gilt, muss notwendigerweise und erst recht für das Vermögen als solches Regel bilden; das Äufnen von Vermögen nach Vermögensverlust ist nämlich bedeutend schwieriger und hängt in geringerem Masse vom guten Willen des Betroffenen allein ab, als dies für eine Steigerung des Erwerbseinkommens üblicherweise zutrifft (KEHL-ZELLER, a.a.O., S. 180 oben). Hat der Unterhaltspflichtige - sei es auch verschuldetermassen oder gar aus bösem Willen - sich seines Vermögens entäussert, und kann der Vermögensschwund nicht rückgängig gemacht werden, muss BGE 117 II 16 S. 18 auf die verbleibende effektive Leistungsfähigkeit abgestellt werden, so unbefriedigend dies im Einzelfall auch erscheinen mag (vgl. SJZ 81/1985, S. 391 Nr. 72; dazu auch HAUSHEER/REUSSER/GEISER, Kommentar zum Eherecht, N 20 zu Art. 176 ZGB ). c) Das Obergericht stellt nicht etwa fest, dass die Schenkungen des Beschwerdeführers an seine Kinder rückgängig zu machen wären. Ebensowenig ist dargetan, dass der Beschwerdeführer bei gutem Willen bzw. bei ihm zuzumutender Anstrengung den von der kantonalen Instanz eingesetzten hypothetischen Vermögensertrag von monatlich rund Fr. 2'100.-- auf andere Weise zu erzielen vermöchte. Die Festsetzung des Unterhaltsbeitrages beruht damit auf einer unhaltbaren Grundlage, so dass der angefochtene Entscheid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