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w:t>
      </w:r>
    </w:p>
    <w:p>
      <w:r>
        <w:t>Bundesgericht (BGE), 1991-01-01, FR</w:t>
      </w:r>
    </w:p>
    <w:p>
      <w:r>
        <w:rPr>
          <w:b/>
        </w:rPr>
        <w:t xml:space="preserve">Quelle: </w:t>
      </w:r>
      <w:r>
        <w:t>https://mcp.opencaselaw.ch/entscheid/bge_BGE_117_II_11</w:t>
      </w:r>
    </w:p>
    <w:p>
      <w:r>
        <w:t>FR: ATF 117 II 11</w:t>
      </w:r>
    </w:p>
    <w:p>
      <w:r>
        <w:t>IT: DTF 117 II 11</w:t>
      </w:r>
    </w:p>
    <w:p>
      <w:pPr>
        <w:pStyle w:val="Heading2"/>
      </w:pPr>
      <w:r>
        <w:t>Regeste</w:t>
      </w:r>
    </w:p>
    <w:p>
      <w:r>
        <w:t>Regeste Löschung der Eintragung eines ausländischen Scheidungsurteils in den Zivilstandsregistern. Die Entscheidung der kantonalen Aufsichtsbehörde im Zivilstandswesen, mit der die Eintragung eines ausländischen Scheidungsurteils in den Zivilstandsregistern angeordnet wird, steht einer die Löschung oder Abänderung der fraglichen Eintragung anstrebenden Statusklage nicht im Wege.</w:t>
      </w:r>
    </w:p>
    <w:p>
      <w:r>
        <w:t>Regeste Radiation de l'inscription d'un jugement de divorce étranger dans les registres de l'état civil. La décision de l'autorité cantonale de surveillance en matière d'état civil qui ordonne l'inscription d'un jugement de divorce étranger dans les registres de l'état civil ne fait pas obstacle à une action d'état tendant à obtenir la radiation ou la modification de l'inscription en question.</w:t>
      </w:r>
    </w:p>
    <w:p>
      <w:r>
        <w:t>Regesto Cancellazione dell'iscrizione di una sentenza di divorzio nei registri dello stato civile. La decisione dell'autorità cantonale di vigilanza in materia di stato civile con cui è ordinata l'iscrizione di una sentenza di divorzio nei registri dello stato civile non osta a un'azione relativa allo stato personale tendente ad ottenere la cancellazione o la modifica di tale iscrizione.</w:t>
      </w:r>
    </w:p>
    <w:p>
      <w:pPr>
        <w:pStyle w:val="Heading2"/>
      </w:pPr>
      <w:r>
        <w:t>Erwägungen</w:t>
      </w:r>
    </w:p>
    <w:p>
      <w:r>
        <w:rPr>
          <w:b/>
        </w:rPr>
        <w:t>E. 4</w:t>
      </w:r>
    </w:p>
    <w:p>
      <w:r>
        <w:t>Il est exact que, dans l'application de l' art. 137 OEC concernant la transcription d'actes étrangers, notamment d'un jugement de divorce, l'autorité cantonale de surveillance dispose d'un plein pouvoir d'examen, qui peut même porter sur de délicates questions de droit international privé ( ATF 110 II 7 consid. 1b et les arrêts cités). A cet égard, l' ATF 87 I 472 est dépassé, comme le dit le recourant. En outre, la compétence de l'autorité cantonale de surveillance est considérée comme exclusive, dans la mesure où elle exclut une procédure cantonale d'exequatur ( ATF 99 Ib 241 consid. 2). L' art. 32 LDIP (qui n'était pas encore en vigueur au moment où la décision de transcription a été rendue) est fondé sur les mêmes principes. Mais cela ne signifie nullement que la décision de l'autorité cantonale de surveillance qui ordonne l'inscription fasse obstacle à une action d'état tendant à obtenir la radiation ou la modification de l'inscription en question. Le recourant perd de vue qu'une telle décision n'est que la condition de l'inscription dans les registres de l'état civil, que cette inscription n'apporte pas la preuve irréfragable des faits qu'elle constate et que l' art. 9 al. 1 CC permet expressément d'en prouver l'inexactitude (KUMMER, Berner Kommentar, n. 64 ad art. 9 CC ; ATF 114 II 4 consid. 3 et les références). La décision administrative d'inscription ne préjuge en rien de la compétence du juge pour statuer sur la validité du fait constaté par l'inscription ( ATF 91 I 373 ). Elle a uniquement une valeur déclarative et n'acquiert pas la force de chose jugée au sens matériel (GULDENER, Das internationale und interkantonale Zivilprozessrecht der Schweiz, Zurich 1951, p. 118 ch. 4; AUBERT, La transcription des divorces étrangers BGE 117 II 11 S. 13 dans les registres de l'état civil suisse, REC 1959 p. 339; BÜHLER/SPÜHLER, Berner Kommentar, Einleitung, n. 193; ATF 113 II 113 en haut). Il n'y a aucune raison de revenir sur cette pratique, qui est conforme à la nature de l'inscription dans les registres publics, ainsi qu'à la règle exprimée par l' art. 9 al. 1 CC . Il n'y a pas non plus de raisons (le recourant n'en indique du reste pas) de soustraire au juge du divorce l'examen, à titre préjudiciel, de la question relative au maintien, en dépit d'un jugement de divorce étranger invoqué par la partie défenderesse, du lien conjugal dont la dissolution est demandée ( ATF 114 II 4 consid.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