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57</w:t>
      </w:r>
    </w:p>
    <w:p>
      <w:r>
        <w:t>Bundesgericht (BGE), 1991-01-01, DE</w:t>
      </w:r>
    </w:p>
    <w:p>
      <w:r>
        <w:rPr>
          <w:b/>
        </w:rPr>
        <w:t xml:space="preserve">Quelle: </w:t>
      </w:r>
      <w:r>
        <w:t>https://mcp.opencaselaw.ch/entscheid/bge_BGE_117_III_57</w:t>
      </w:r>
    </w:p>
    <w:p>
      <w:r>
        <w:t>FR: ATF 117 III 57</w:t>
      </w:r>
    </w:p>
    <w:p>
      <w:r>
        <w:t>IT: DTF 117 III 57</w:t>
      </w:r>
    </w:p>
    <w:p>
      <w:pPr>
        <w:pStyle w:val="Heading2"/>
      </w:pPr>
      <w:r>
        <w:t>Regeste</w:t>
      </w:r>
    </w:p>
    <w:p>
      <w:r>
        <w:t>Regeste Art. 81 Abs. 1 SchKG; Konkordat über die Schiedsgerichtsbarkeit (SR 279); Prüfungsbefugnis des Rechtsöffnungsrichters. 1. Während der die Vollstreckbarkeit bescheinigende Richter zur Prüfung befugt ist, ob ein Schiedsspruch die Voraussetzungen eines Schiedsgerichtsentscheides erfülle oder ob es sich nicht lediglich um ein vom Konkordat nicht erfasstes Schiedsgutachten handle, steht eine solche Prüfungsbefugnis dem Rechtsöffnungsrichter nicht zu (E. 4a). 2. Im Rahmen des Konkordatsrechts bleibt für eine Auslegung insoweit Raum, als aus der Bezeichnung einer juristischen Person als Schiedsrichter auf bestimmte natürliche Personen geschlossen werden kann (E. 4b).</w:t>
      </w:r>
    </w:p>
    <w:p>
      <w:r>
        <w:t>Regeste Art. 81 al. 1 LP; Concordat sur l'arbitrage (RS 279); pouvoir d'examen du juge de la mainlevée. 1. Alors que le juge de l'exequatur est habilité à vérifier que la sentence remplit les conditions d'une décision d'un tribunal arbitral ou qu'elle n'est pas simplement une expertise-arbitrage non soumise au Concordat, un tel pouvoir d'examen ne compète pas au juge de la mainlevée (consid. 4a). 2. Dans le cadre du droit concordataire, il n'y a lieu à interprétation que dans la mesure où l'on peut conclure, de la désignation d'une personne morale comme arbitre, qu'elle vise des personnes physiques déterminées (consid. 4b).</w:t>
      </w:r>
    </w:p>
    <w:p>
      <w:r>
        <w:t>Regesto Art. 81 cpv. 1 LEF; Concordato sull'arbitrato (RS 279); potere d'esame del giudice del rigetto. 1. Mentre il giudice dell'exequatur è autorizzato ad esaminare se un verdetto arbitrale adempie i presupposti di un lodo o se si tratta semplicemente di un referto di arbitratore che non rientra nel campo di applicazione del Concordato, non compete al giudice del rigetto procedere a tale esame (consid. 4a). 2. Nell'ambito del diritto concordatario rimane spazio per procedere a un'interpretazione nella misura in cui, dalla designazione di una persona giuridica quale arbitro, è possibile risalire a determinate persone fisiche (consid. 4b).</w:t>
      </w:r>
    </w:p>
    <w:p>
      <w:pPr>
        <w:pStyle w:val="Heading2"/>
      </w:pPr>
      <w:r>
        <w:t>Erwägungen</w:t>
      </w:r>
    </w:p>
    <w:p>
      <w:r>
        <w:rPr>
          <w:b/>
        </w:rPr>
        <w:t>E. 4</w:t>
      </w:r>
    </w:p>
    <w:p>
      <w:r>
        <w:t>Das Kantonsgericht des Kantons Schwyz hat im angefochtenen Entscheid die Tragweite von Art. 81 Abs. 1 SchKG verkannt. a) Handelt es sich - wie im vorliegenden Fall - um einen Schiedsgerichtsentscheid, der im gleichen Kanton ergangen ist, in welchem die Betreibung angehoben worden ist, so kann der Betriebene lediglich die Vollstreckbarkeit bestreiten oder geltend machen und durch Urkunden beweisen, die Schuld sei seit Erlass des Entscheides getilgt oder gestundet worden, oder den Eintritt der Verjährung geltend machen (FRITZSCHE/WALDER, Schuldbetreibung und Konkurs nach schweizerischem Recht, Band I, Zürich 1984, § 19 Rz. 19 f.; AMONN, Grundriss des Schuldbetreibungs- und Konkursrechts, 4. Auflage Bern 1988, § 19 N 26 f.; GILLIÉRON, Poursuite pour dettes, faillite et concordat, 2. Auflage Lausanne 1988, S. 148 oben; STRÄULI/MESSMER, Kommentar zur Zürcherischen Zivilprozessordnung, 2. Auflage Zürich 1982, Anhang nach § 258 N 2 ). Der vom Beschwerdeführer angerufene Schiedsspruch ist vom Gerichtspräsidenten des Bezirks Gersau, in Anwendung der Bestimmungen des Konkordates über die Schiedsgerichtsbarkeit, als vollstreckbar erklärt worden. Wenngleich diese Bescheinigung nur feststellenden und nicht konstitutiven Charakter hat, liefert sie den Beweis dafür, dass der Schiedsgerichtsentscheid nach dem Recht des Kantons, in dem er ergangen ist, rechtskräftig und vollstreckbar ist; und diesbezüglich ist der innerkantonale Vollstreckungsrichter gebunden ( BGE 107 Ia 320 E. 4; STRÄULI/MESSMER, § 257 N 2 ). Der die Vollstreckbarkeit bescheinigende Richter ist zur Prüfung befugt gewesen, ob der Schiedsspruch die Voraussetzungen eines Schiedsgerichtsentscheides erfülle oder ob es sich nicht lediglich um ein Schiedsgutachten handle, das vom Konkordat nicht erfasst wird ( BGE 107 Ia 324 E. 6 am Ende). Solche Prüfung stand indessen dem mit dem Rechtsöffnungsentscheid befassten Kantonsgericht nicht mehr zu. Dieses hat auch BGE 117 III 57 S. 60 keine anderen Gründe namhaft gemacht, deretwegen die Vollstreckbarkeit zu verneinen wäre, wie etwa nicht ordnungsgemässe Zustellung (Art. 35 des Konkordates über die Schiedsgerichtsbarkeit). b) Hingegen hat das Kantonsgericht des Kantons Schwyz daran Anstoss genommen, dass im Schiedsspruch vom 22. März 1990 keine natürlichen Personen als Schiedsrichter bezeichnet worden sind. In der Tat kann als Schiedsrichter grundsätzlich nur eine natürliche Person in Erscheinung treten. Das gilt indessen im System des Konkordates über die Schiedsgerichtsbarkeit nicht absolut (JOLIDON, Commentaire du Concordat suisse sur l'arbitrage, Bern 1984, S. 201). Für eine Auslegung bleibt insoweit noch Raum, als aus der Bezeichnung einer juristischen Person auf bestimmte natürliche Personen geschlossen werden kann ( BGE 107 Ia 322 oben). Im vorliegenden Fall haben denn auch zwei Mitglieder der Schätzungsabteilung der Treuhandstelle SWV mit Unterstützung durch einen Experten das Schiedsverfahren durchgeführt und den Schiedsspruch unterzeichnet. Ein Nichtigkeitsgrund wäre daraus nicht abzuleiten. c) Die Frage der Tragweite der Schiedsabrede hätte die Beschwerdegegnerin zum Gegenstand einer Nichtigkeitsbeschwerde machen können; und mit diesem Rechtsmittel hätte sie auch vorbringen können, dass die Vereinbarung vom 19. April 1989 keine taugliche Grundlage für den Erlass eines Schiedsgerichtsentscheides bilde. Sie hat jedoch auf die Nichtigkeitsbeschwerde verzichtet. Der Rechtsöffnungsrichter, konfrontiert mit einem Schiedsspruch, dessen Vollstreckbarkeit bescheinigt war, durfte auf solche Einwände nicht zurückkommen. d) Steht somit fest, dass das Kantonsgericht des Kantons Schwyz auf Einreden der Schuldnerin eingegangen ist, welche die von Art. 81 Abs. 1 SchKG gesetzten Grenzen ganz offensichtlich sprengen, so erweist sich der angefochtene Entscheid als unhaltbar und ist demzufolge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