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5</w:t>
      </w:r>
    </w:p>
    <w:p>
      <w:r>
        <w:t>Bundesgericht (BGE), 1991-01-01, FR</w:t>
      </w:r>
    </w:p>
    <w:p>
      <w:r>
        <w:rPr>
          <w:b/>
        </w:rPr>
        <w:t xml:space="preserve">Quelle: </w:t>
      </w:r>
      <w:r>
        <w:t>https://mcp.opencaselaw.ch/entscheid/bge_BGE_117_III_5</w:t>
      </w:r>
    </w:p>
    <w:p>
      <w:r>
        <w:t>FR: ATF 117 III 5</w:t>
      </w:r>
    </w:p>
    <w:p>
      <w:r>
        <w:t>IT: DTF 117 III 5</w:t>
      </w:r>
    </w:p>
    <w:p>
      <w:pPr>
        <w:pStyle w:val="Heading2"/>
      </w:pPr>
      <w:r>
        <w:t>Regeste</w:t>
      </w:r>
    </w:p>
    <w:p>
      <w:r>
        <w:t>Regeste Art. 64 Abs. 1 SchKG; Zustellung des Zahlungsbefehls an eine andere Person als den betriebenen Schuldner. Der Zahlungsbefehl, der sich an eine in einem Heim der Heilsarmee wohnende Person richtet, ist durch Übergabe an eine Angestellte dieses Heimes rechtsgültig zugestellt worden (E. 1). Ist der Zahlungsbefehl durch einen Dritten vernichtet worden, nachdem der Schuldner die Entgegennahme verweigert hat, so führt dies nicht zur Ungültigkeit der Zustellung (E. 2).</w:t>
      </w:r>
    </w:p>
    <w:p>
      <w:r>
        <w:t>Regeste Art. 64 al. 1 LP; notification d'un commandement de payer à une personne autre que le poursuivi. Le commandement de payer destiné à une personne résidant dans un home de l'Armée du Salut est valablement notifié lorsqu'il est remis à une collaboratrice du home (consid. 1). Le fait que le commandement de payer aurait été détruit par un tiers, après que le poursuivi eut refusé de le recevoir, n'entraîne pas l'annulation de la notification (consid. 2).</w:t>
      </w:r>
    </w:p>
    <w:p>
      <w:r>
        <w:t>Regesto Art. 64 cpv. 1 LEF; notificazione di un precetto esecutivo a persona diversa dal debitore escusso. Il precetto esecutivo destinato a persona residente in un ostello dell'Esercito della Salvezza è validamente notificato quando sia consegnato a una collaboratrice dell'ostello (consid. 1). L'eventuale distruzione del precetto esecutivo da parte di un terzo, dopo che l'escusso aveva rifiutato di riceverlo, non comporta l'annullamento della notifica (consid. 2).</w:t>
      </w:r>
    </w:p>
    <w:p>
      <w:pPr>
        <w:pStyle w:val="Heading2"/>
      </w:pPr>
      <w:r>
        <w:t>Erwägungen</w:t>
      </w:r>
    </w:p>
    <w:p>
      <w:r>
        <w:rPr>
          <w:b/>
        </w:rPr>
        <w:t>E. 1</w:t>
      </w:r>
    </w:p>
    <w:p>
      <w:r>
        <w:t>Le recourant soutient que la notification du commandement de payer n'a pas été régulière, car elle ne s'est pas faite conformément aux exigences légales, c'est-à-dire, en son absence, à une personne adulte de son ménage ou à un employé ( art. 64 LP ). Il fait valoir que la collaboratrice du home où il habitait au moment de la notification ne saurait être considérée comme une personne adulte de son ménage ou son employée, au sens de la loi. Il prétend qu'il ne pourrait s'agir que de personnes sous la puissance du destinataire et sur lesquelles il exerce une influence. BGE 117 III 5 S. 7 Ce point de vue est erroné. Lorsque le destinataire du commandement de payer réside, comme c'est le cas du recourant, dans une institution, la notification en mains d'une personne majeure qui collabore à l'exploitation doit être considérée comme valable. La situation est en effet sensiblement différente de celle existant en cas de simple location d'une chambre ou d'un appartement. Dans cette hypothèse, la remise de l'acte en mains du bailleur ne constitue pas une notification valable ( ATF 35 I 772 ; BlSchK 1970, p. 23; 1947, p. 146; 1946, p. 57). Elle est en revanche valable lorsque le commandement de payer est remis à la personne chez qui le destinataire prend chambre et pension (BlSchK 1969, p. 44). Cette jurisprudence peut s'appliquer par analogie au cas d'une résidence de l'Armée du Salut où les pensionnaires ne sont pas de simples locataires, mais bénéficient de prestations autres que le logement et de nature à créer une certaine communauté domestique.</w:t>
      </w:r>
    </w:p>
    <w:p>
      <w:r>
        <w:rPr>
          <w:b/>
        </w:rPr>
        <w:t>E. 2</w:t>
      </w:r>
    </w:p>
    <w:p>
      <w:r>
        <w:t>Le fait que l'exemplaire du commandement de payer destiné au recourant aurait été détruit par un tiers, après que le destinataire eut refusé de le recevoir, n'entraîne pas l'annulation de la notification. En effet, la remise de l'acte de poursuite vaut notification, même si le document est brûlé sous les yeux du préposé à ladite notification ( ATF 91 III 44 ). Cette opération est à plus forte raison valable si la destruction intervient postérieurement parce que le destinataire ne veut pas prendre possession de l'acte. En définitive, le commandement de payer a été notifié conformément aux exigences légales et le recours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