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44</w:t>
      </w:r>
    </w:p>
    <w:p>
      <w:r>
        <w:t>Bundesgericht (BGE), 1991-01-01, FR</w:t>
      </w:r>
    </w:p>
    <w:p>
      <w:r>
        <w:rPr>
          <w:b/>
        </w:rPr>
        <w:t xml:space="preserve">Quelle: </w:t>
      </w:r>
      <w:r>
        <w:t>https://mcp.opencaselaw.ch/entscheid/bge_BGE_117_III_44</w:t>
      </w:r>
    </w:p>
    <w:p>
      <w:r>
        <w:t>FR: ATF 117 III 44</w:t>
      </w:r>
    </w:p>
    <w:p>
      <w:r>
        <w:t>IT: DTF 117 III 44</w:t>
      </w:r>
    </w:p>
    <w:p>
      <w:pPr>
        <w:pStyle w:val="Heading2"/>
      </w:pPr>
      <w:r>
        <w:t>Regeste</w:t>
      </w:r>
    </w:p>
    <w:p>
      <w:r>
        <w:t>Regeste Art. 231 SchKG; Art. 96 KOV. Verbot, im summarischen Konkursverfahren Anzahlungen an die Gläubiger zu leisten. 1. Dem klaren Wortlaut von Art. 96 der Verordnung über die Geschäftsführung der Konkursämter entsprechend, ist es im summarischen Konkursverfahren ausgeschlossen, den Gläubigern eine oder mehrere Abschlagszahlungen zu leisten (E. 1). 2. Gesetzliche Grundlage von Art. 96 KOV (E. 2).</w:t>
      </w:r>
    </w:p>
    <w:p>
      <w:r>
        <w:t>Regeste Art. 231 LP; art. 96 OOF. Interdiction, dans la liquidation sommaire d'une faillite, du versement d'acomptes aux créanciers. 1. Conformément au texte clair de l'art. 96 de l'ordonnance sur l'administration des offices de faillite, il est exclu, dans la liquidation sommaire d'une faillite, de verser un ou plusieurs acomptes aux créanciers (consid. 1). 2. Base légale de l'art. 96 OOF (consid. 2).</w:t>
      </w:r>
    </w:p>
    <w:p>
      <w:r>
        <w:t>Regesto Art. 231 LEF; art. 96 RUF. Divieto, nella procedura sommaria di fallimento, di versare acconti ai creditori. 1. Conformemente al testo chiaro dell'art. 96 del regolamento concernente l'amministrazione degli uffici dei fallimenti, è escluso, nella procedura sommaria di fallimento, di versare uno o più acconti ai creditori (consid. 1). 2. Base legale dell'art. 96 RUF (consid. 2).</w:t>
      </w:r>
    </w:p>
    <w:p>
      <w:pPr>
        <w:pStyle w:val="Heading2"/>
      </w:pPr>
      <w:r>
        <w:t>Erwägungen</w:t>
      </w:r>
    </w:p>
    <w:p>
      <w:r>
        <w:rPr>
          <w:b/>
        </w:rPr>
        <w:t>E. 1</w:t>
      </w:r>
    </w:p>
    <w:p>
      <w:r>
        <w:t>L' art. 231 LP , seule disposition légale régissant la liquidation sommaire de la faillite, en règle très succinctement les modalités. Celles-ci sont précisées notamment par l'art. 96 de l'ordonnance du 13 juillet 1911 sur l'administration des offices de faillite (OOF, RS 281.32) selon lequel "l'office ne procédera pas à des répartitions provisoires...". Vu le texte clair de cette règle de procédure, tant l'office que l'autorité de surveillance ont rejeté la demande de paiement d'acomptes présentée par les recourants. On ne saurait soutenir, face à cette norme spéciale, que la règle générale posée par l' art. 266 LP pour la liquidation ordinaire, c'est-à-dire la possibilité de procéder à des répartitions provisoires dès l'expiration du délai d'opposition à l'état de collocation, laisserait place à la même possibilité dans la liquidation sommaire. Une telle interprétation serait contraire au texte clair de l' art. 96 let . c OOF. S'il est possible que la lettre d'une norme ne corresponde pas à son sens véritable, une interprétation allant à l'encontre de la lettre de la loi ne peut être envisagée que dans des cas exceptionnels ( ATF 108 Ib 401 consid. 3b; ATF 103 Ia 117 consid. 3). C'est lorsque les conséquences de l'application d'une règle paraissent ne pas correspondre à l'intention du législateur ou lorsqu'une disposition est peu claire malgré sa teneur apparemment limpide qu'il convient de rechercher l'esprit et le but véritables de la norme ( ATF 114 II 406 consid. 3). Ni l'une, ni l'autre de ces hypothèses n'est réalisée en l'espèce: d'une part une répartition provisoire nécessiterait l'établissement et le dépôt, avec avis aux créanciers, d'un tableau de distribution provisoire (art. 82 OOF), c'est-à-dire une formalité supplémentaire relativement lourde, en contradiction avec le caractère sommaire de la liquidation; d'autre part l' art. 96 let . c OOF est tout à fait clair. La décision de l'autorité de surveillance, confirmant indirectement le refus de payer un acompte aux recourants, constitue donc une application justifiée de l' art. 96 let . c OOF. BGE 117 III 44 S. 46</w:t>
      </w:r>
    </w:p>
    <w:p>
      <w:r>
        <w:rPr>
          <w:b/>
        </w:rPr>
        <w:t>E. 2</w:t>
      </w:r>
    </w:p>
    <w:p>
      <w:r>
        <w:t>Dans un second moyen, les recourants prétendent que la disposition réglementaire déborde le cadre de la délégation de compétence prévue, en faveur du Tribunal fédéral, par l' art. 15 al. 2 LP . a) Ce grief revient à reprocher à l'art. 96 OOF de violer le principe de la hiérarchie des règles, selon lequel une ordonnance doit être conforme, dans son étendue notamment, à la loi qui la fonde, principe qui découle implicitement de la Constitution (ROBERT ZIMMERMANN, Le contrôle préjudiciel en droit fédéral et dans les cantons suisses, Lausanne 1987, p. 23). Aux termes de l' art. 19 al. 1 LP , les décisions de l'autorité cantonale de surveillance rendues contrairement à la loi fédérale sur la poursuite pour dettes et la faillite sont susceptibles de recours au Tribunal fédéral. Cette règle a été reçue de façon extensive et, par exemple, il a été jugé que les règles sur la bonne foi, déduites de l' art. 2 CC ou celles posées, quant à la preuve, par l' art. 8 CC , s'appliquent dans le cadre du recours de LP ( ATF 108 III 112 consid. 3; ATF 105 III 19 ). Le Tribunal fédéral revoit l'application de l'ensemble du droit fédéral, y compris les ordonnances qu'il a lui-même édictées, sous réserve du recours de droit public pour violation des droits constitutionnels des citoyens (SCYBOZ, Le Tribunal fédéral et la poursuite, in Centenaire de la LP, Zurich 1989, p. 152, let. C1; POUDRET/SANDOZ-MONOD, Commentaire de la loi fédérale d'organisation judiciaire, vol. II, p. 779). Il contrôle aussi préjudiciellement la constitutionnalité d'une ordonnance du Tribunal fédéral dans le cadre d'un recours de LP ( ATF 88 III 44 ). b) Selon l' art. 15 al. 2 LP , le Tribunal fédéral édicte les règlements et ordonnances d'exécution nécessaires. Malgré les termes utilisés dans cette disposition, qui a plus d'un siècle, l'art. 96 OOF est une règle édictée dans une ordonnance dépendante de substitution, selon la terminologie de la doctrine. Elle trouve son fondement dans la loi sur la poursuite pour dettes et la faillite et développe, avec les art. 32, 49, 70 et 93 OOF, la trop brève réglementation esquissée à l' art. 231 al. 3 LP (AUER, La juridiction constitutionnelle en Suisse, Bâle 1983, p. 111 No 193; GILLIÉRON, Poursuite pour dettes, faillite et concordat, 2e éd., Lausanne 1988, p. 53). Lorsqu'il s'agit d'apprécier la constitutionnalité d'une ordonnance dépendante de substitution édictée par le Conseil fédéral, le Tribunal fédéral examine si les dispositions de l'ordonnance concourent objectivement à la réalisation du but visé par la loi et y sont adaptées ( ATF 108 IV 125 et les arrêts cités), conformément BGE 117 III 44 S. 47 au principe de proportionnalité. Si l'on applique, par analogie, cette jurisprudence à l'art. 96 OOF, on constate que l'interdiction de distributions provisoires, avec les formalités qui en découleraient, est conforme et adaptée au but visé par la loi à l' art. 231 LP , c'est-à-dire la simplification de la procédure de liquidation. Dès lors, le reproche de violation des limites de la très large délégation législative de l' art. 15 al. 2 LP est infondé. Cette solution est d'autant plus justifiée qu'il s'agit d'une ordonnance appliquée depuis près de huitante ans et guère contestée depuis lors. Si la jurisprudence n'a pas tranché la question de la constitutionnalité d'une disposition d'une ordonnance fondée sur l' art. 15 al. 2 LP et dérogeant à la loi ( ATF 88 III 44 ), la doctrine est encline à considérer que de tels aménagements, même dérogatoires, bénéficient de la force de la coutume (FAVRE, Droit des poursuites, 3e éd., Fribourg 1974, p. 55/56; FRITZSCHE/ WALDER, Schuldbetreibung und Konkurs, 3e éd., 1984, p. 52/53).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