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97 vom 1. Januar 1991</w:t>
      </w:r>
    </w:p>
    <w:p>
      <w:r>
        <w:t>Bundesgericht (BGE), 1991-01-01, DE</w:t>
      </w:r>
    </w:p>
    <w:p>
      <w:r>
        <w:rPr>
          <w:b/>
        </w:rPr>
        <w:t xml:space="preserve">Quelle: </w:t>
      </w:r>
      <w:r>
        <w:t>https://mcp.opencaselaw.ch/entscheid/bge_BGE_117_IB_97</w:t>
      </w:r>
    </w:p>
    <w:p>
      <w:r>
        <w:t>FR: BGE BGE 117 IB 97 du 1 janvier 1991</w:t>
      </w:r>
    </w:p>
    <w:p>
      <w:r>
        <w:t>IT: BGE BGE 117 IB 97 del 1 gennaio 1991</w:t>
      </w:r>
    </w:p>
    <w:p>
      <w:pPr>
        <w:pStyle w:val="Heading2"/>
      </w:pPr>
      <w:r>
        <w:t>Regeste</w:t>
      </w:r>
    </w:p>
    <w:p>
      <w:r>
        <w:t>Regeste Art. 103 lit. c OG, Art. 12 NHG, Art. 24 RPG; Beschwerdelegitimation gesamtschweizerischer Vereinigungen. Den gesamtschweizerischen Vereinigungen steht im Baubewilligungsverfahren nach Art. 24 RPG die Beschwerdebefugnis zu, soweit sie geltend machen, die erteilte Bewilligung verstosse gegen die nach Art. 24sexies BV und nach den Vorschriften des NHG notwendige Rücksichtnahme auf Natur und Heimat. Dabei ist weder Voraussetzung, dass es um ein öffentliches Bauvorhaben des Bundes geht, noch dass ein vom Bund nach Art. 5 NHG inventarisiertes Schutzobjekt betroffen wird.</w:t>
      </w:r>
    </w:p>
    <w:p>
      <w:r>
        <w:t>Regeste Art. 103 let. c OJ; art. 12 LPN, art. 24 LAT; qualité pour recourir des associations d'importance nationale. Dans la procédure de l'autorisation de construire régie par l'art. 24 LAT, les associations d'importance nationale ont qualité pour recourir dans la mesure où elles soutiennent que l'autorisation est contraire aux objectifs de protection de la nature et du paysage prévus par l'art. 24sexies Cst. et par la loi sur la protection de la nature et du paysage. Il n'est pas nécessaire qu'un projet de construction publique de la Confédération ou qu'un site porté à l'inventaire prévu par l'art. 5 LPN soit en cause.</w:t>
      </w:r>
    </w:p>
    <w:p>
      <w:r>
        <w:t>Regesto Art. 103 lett. c OG, art. 12 LPN, art. 24 LPT; legittimazione ricorsuale delle associazioni d'importanza nazionale. Nella procedura di rilascio della licenza edilizia disciplinata dall'art. 24 LPT, le associazioni d'importanza nazionale sono legittimate a ricorrere nella misura in cui fanno valere che la licenza edilizia è contraria agli scopi della protezione della natura e del paesaggio tutelati dall'art. 24sexies Cost. e dalla LPN. Non occorre che si sia in presenza di un progetto di costruzione pubblica della Confederazione o di un oggetto iscritto in un inventario previsto dall'art. 5 LPN.</w:t>
      </w:r>
    </w:p>
    <w:p>
      <w:pPr>
        <w:pStyle w:val="Heading2"/>
      </w:pPr>
      <w:r>
        <w:t>Erwägungen</w:t>
      </w:r>
    </w:p>
    <w:p>
      <w:r>
        <w:rPr>
          <w:b/>
        </w:rPr>
        <w:t>E. 3</w:t>
      </w:r>
    </w:p>
    <w:p>
      <w:r>
        <w:t>... a) Nach der Rechtsprechung des Bundesgerichts hat das kantonale Recht den gemäss Art. 103 lit. a und c OG Beschwerdeberechtigten dieselben Parteirechte zu gewähren wie das Bundesrecht ( BGE 116 Ib 122 mit Hinweis, 426 E. 3a). Die Vorinstanzen und der Beschwerdegegner stellen sich auf den Standpunkt, in der Sache selber wären die Beschwerdeführer nicht zur Verwaltungsgerichtsbeschwerde an das Bundesgericht legitimiert, weil die Behörde im hier zur Diskussion stehenden Baubewilligungsverfahren keine Bundesaufgabe im Sinne von Art. 2 NHG erfüllen würden. BGE 117 Ib 97 S. 100 Dieser Ansicht kann nicht gefolgt werden. Wie das Bundesgericht in konstanter Rechtsprechung entschieden hat, sind die gesamtschweizerischen ideellen Vereinigungen des Natur- und Heimatschutzes gestützt auf Art. 12 NHG berechtigt, mit Verwaltungsgerichtsbeschwerde beim Bundesgericht zu rügen, eine in Anwendung von Art. 24 RPG erteilte Baubewilligung verstosse gegen die nach Art. 24sexies BV und nach den Vorschriften des NHG notwendige Rücksichtnahme auf Natur und Heimat ( BGE 116 Ib 121 f. E. 2b und 207 E. 3a, BGE 115 Ib 479 E. 1d, bb, BGE 114 Ib 271 E. 2b, BGE 112 Ib 77 ). Dabei ist entgegen der Meinung des Beschwerdegegners und der Vorinstanz nicht Voraussetzung, dass es um ein öffentliches Bauvorhaben des Bundes geht, noch dass ein vom Bund nach Art. 5 NHG inventarisiertes Schutzobjekt betroffen wird. Schon in BGE 112 Ib 75 erklärte das Bundesgericht ganz allgemein, in der Handhabung der Bestimmung von Art. 24 RPG im oben beschriebenen Sinne liege die Erfüllung einer Bundesaufgabe. Sein Hinweis auf Bauvorhaben, die "namentlich" in einer Landschaft verwirklicht werden sollen, die in einem Inventar des Bundes verzeichnet sind, erfolgte nur beispielhaft (ebenso in BGE 115 Ib 479 f. E. 1d, bb, und BGE 114 Ib 271 E. 2b, wo die Feststellung, es könnte ein BLN-Objekt betroffen sein, jeweils nicht im Sinne einer Voraussetzung der Legitimation gemacht wurde). Im Falle von BGE 116 Ib 121 ff. war überhaupt nicht mehr von einem Inventar die Rede. Der Wirkungsbereich des NHG beschränkt sich denn auch nicht nur auf Objekte von nationaler Bedeutung, wie zum Beispiel aus Art. 3 Abs. 3 und Art. 4 sowie Art. 18b und Art. 21 NHG hervorgeht. Ebensowenig ist erforderlich, dass es um ein Bauvorhaben des Bundes oder einer Bundesanstalt geht, wie der Beschwerdegegner aus einzelnen der oben zitierten Entscheide herauszulesen meint. So ging es zum Beispiel im Falle BGE 114 Ib 268 ff. um eine von der Korporation Walchwil projektierte Walderschliessungsstrasse, im Falle BGE 115 Ib 472 ff. um ein Flusssanierungsprojekt des Kantons Zürich und in den Fällen BGE 116 Ib 8 ff. und 119 ff. um eine von einem Privaten projektierte Geflügelmasthalle (vgl. auch BGE 115 Ib 335 ff., wo eine private Chaletsiedlung zur Diskussion stand, und BGE 116 Ib 207 ff. E. 3, wo es um ein kommunales Bauvorhaben ging). Dass im vorliegenden Fall eine Ausnahmebewiligung nach Art. 24 RPG zur Diskussion steht, gegen die grundsätzlich die Verwaltungsgerichtsbeschwerde an das Bundesgericht offensteht ( Art. 34 Abs. 1 RPG ), und dass die Beschwerdeführer Natur- und BGE 117 Ib 97 S. 101 Heimatschutzinteressen geltend machen, ist unbestritten. Nach dem Gesagten stünde somit dem SBN als gesamtschweizerischer ideeller Vereinigung gegen einen in der Sache ergangenen kantonal letztinstanzlichen Entscheid die Verwaltungsgerichtsbeschwerde an das Bundesgericht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