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465 vom 1. Januar 1991</w:t>
      </w:r>
    </w:p>
    <w:p>
      <w:r>
        <w:t>Bundesgericht (BGE), 1991-01-01, FR</w:t>
      </w:r>
    </w:p>
    <w:p>
      <w:r>
        <w:rPr>
          <w:b/>
        </w:rPr>
        <w:t xml:space="preserve">Quelle: </w:t>
      </w:r>
      <w:r>
        <w:t>https://mcp.opencaselaw.ch/entscheid/bge_BGE_117_IB_465</w:t>
      </w:r>
    </w:p>
    <w:p>
      <w:r>
        <w:t>FR: BGE BGE 117 IB 465 du 1 janvier 1991</w:t>
      </w:r>
    </w:p>
    <w:p>
      <w:r>
        <w:t>IT: BGE BGE 117 IB 465 del 1 gennaio 1991</w:t>
      </w:r>
    </w:p>
    <w:p>
      <w:pPr>
        <w:pStyle w:val="Heading2"/>
      </w:pPr>
      <w:r>
        <w:t>Regeste</w:t>
      </w:r>
    </w:p>
    <w:p>
      <w:r>
        <w:t>Regeste Art. 23 Abs. 1 lit. c Landwirtschaftsgesetz vom 3. Oktober 1951 (LwG; SR 910.1) und Geflügelverordnung vom 22. März 1989 (SR 916.335); Pflicht zur Übernahme von inländischem Geflügel. Befreiung von der Übernahmepflicht wegen unzumutbarer Härte. 1. Geflügel, dessen Einfuhr der Bewilligungspflicht unterliegt (Art. 28 der Allgemeinen Landwirtschaftsverordnung). 2. Nur derjenige Geflügelimporteur kann wegen unzumutbarer Härte von der Pflicht, inländisches Geflügel zu übernehmen, befreit werden (Art. 2 lit. b Geflügelverordnung), welcher keine Möglichkeit hat, Geflügel aus inländischer Produktion abzusetzen, das dem ausländischen Geflügel entspricht, welches er einzuführen gedenkt.</w:t>
      </w:r>
    </w:p>
    <w:p>
      <w:r>
        <w:t>Regeste Art. 23 al. 1 lettre c de la loi fédérale du 3 octobre 1951 sur l'agriculture (LAgr; RS 910.1) et Ordonnance sur la volaille du 22 mars 1989 (RS 916.335); prise en charge obligatoire de volaille indigène. Clause d'exemption pour cas de rigueur. 1. Nature de volaille dont l'importation est soumise à autorisation (art. 28 de l'ordonnance générale sur l'agriculture). 2. Pour invoquer le cas de rigueur excessive et bénéficier de l'exemption de la prise en charge de volaille indigène (art. 2 lettre b de l'ordonnance sur la volaille), l'importateur doit être dans l'impossibilité d'écouler aucune sorte de volaille indigène équivalant à la volaille étrangère qu'il entend importer.</w:t>
      </w:r>
    </w:p>
    <w:p>
      <w:r>
        <w:t>Regesto Art. 23 cpv. 1 lett. c della legge federale sull'agricoltura del 3 ottobre 1951 (LAgr; RS 910.1) e ordinanza sul pollame del 22 marzo 1989 (RS 916.335); obbligo di ritirare pollame indigeno. Dispensa dall'obbligo di ritiro ove ciò costituisca un caso di rigore eccessivo. 1. Pollame la cui importazione soggiace ad autorizzazione (art. 28 dell'ordinanza generale sull'agricoltura). 2. Per poter prevalersi del caso di rigore eccessivo ed essere dispensato dall'obbligo di ritiro (art. 2 lett. b dell'ordinanza sul pollame), l'importatore dev'essere impossibilitato a smerciare pollame indigeno equivalente a quello che desidera importare.</w:t>
      </w:r>
    </w:p>
    <w:p>
      <w:pPr>
        <w:pStyle w:val="Heading2"/>
      </w:pPr>
      <w:r>
        <w:t>Erwägungen</w:t>
      </w:r>
    </w:p>
    <w:p>
      <w:r>
        <w:rPr>
          <w:b/>
        </w:rPr>
        <w:t>E. 2</w:t>
      </w:r>
    </w:p>
    <w:p>
      <w:r>
        <w:t>a) Par volaille au sens de l'ordonnance sur la volaille (art. 1 al. 3 de l'ordonnance), on entend la volaille domestique abattue, entière ou découpée, dont l'importation est soumise à autorisation selon l'art. 28 de l'ordonnance générale sur l'agriculture. Selon cette dernière disposition (cf. RS 916.01), ne peuvent être importés qu'au moyen d'une autorisation de la Division des importations et des exportations les viandes et abats comestibles de volailles (poules, canards, oies, dindes, pintades), frais, réfrigérés ou congelés (No du tarif douanier 0207.1000/5000), salés, fumés (à l'exception des foies de volaille fumés) ou en saumure (ex 0210.9090) et les autres préparations et conserves de viandes, d'abats ou de sang de volailles (1602.) de dindes (3100) ou autres (3900). Il s'ensuit que les 100 kg de magret de canard surgelé et les 500 kg de foie gras cru d'oie et de canard pour lesquels la recourante avait présenté une demande de permis d'importation le BGE 117 Ib 465 S. 468 12 décembre 1989 entrent clairement dans la définition de la volaille décrite ci-dessus. C'est donc à juste titre que l'autorité intimée a appliqué les règles de l'ordonnance sur la volaille à la présente affaire. b) Bien qu'elle ne conteste pas que sa requête soit, sur le principe, soumise à l'ordonnance sur la volaille, la recourante prétend cependant obtenir les permis d'importation qui lui sont nécessaires sans prendre en charge de la volaille indigène, mais en bénéficiant de la clause d'exemption pour cas de rigueur contenue à l'art. 2 lettre b de ladite ordonnance. Selon ses allégations, la marchandise d'origine étrangère de qualité supérieure qu'elle commercialise ne serait pas produite en Suisse; ne trouvant ainsi aucune volaille du pays équivalant à ses importations, on ne saurait l'obliger à écouler de la marchandise suisse pour laquelle elle ne dispose d'aucun débouché auprès de sa clientèle. c) Contrairement à l'opinion de la recourante, il n'est pas nécessaire, pour déterminer les capacités d'un importateur de satisfaire à son obligation de prise en charge, qu'il puisse trouver auprès des producteurs suisses des produits identiques à ceux qu'il importe. Il suffit que de la volaille du pays de même genre et de qualité marchande soit disponible (cf. art. 23 al. 1 lettre c LAgr). Or, sur ce point, les enquêtes ont montré qu'il n'existe quasiment aucune volaille d'abattage qui ne trouve son équivalent en Suisse. Des cailles, oies, canards et autres pintades sont aussi engraissés dans le pays, même si le volume de cette production n'est, de loin, pas aussi important qu'à l'étranger. Dans ces conditions, ce n'est que très exceptionnellement qu'un importateur pourra invoquer utilement la disposition dérogatoire de l'art. 2 lettre b de l'ordonnance sur la volaille pour obtenir des permis d'importation sans prendre en charge de la volaille indigène. Pour invoquer le cas de rigueur excessive, l'importateur doit être dans l'impossibilité d'écouler aucune sorte de volaille produite en Suisse. S'il peut remplacer une partie de sa marchandise par de la volaille indigène, le cas de rigueur est exclu. En l'espèce, il ressort de la liste des prix pratiqués par la recourante en novembre-décembre 1989 que les produits vendus n'étaient pas, comme indiqué dans le recours, sans équivalent en Suisse; il est en effet spécifié expressément sur cette liste que l'importation de volaille française de Bresse ou de Vendée, suspendue en raison de l'entrée en vigueur des ordonnances sur la volaille, est remplacée par de la marchandise indigène. Dès lors, même si l'on BGE 117 Ib 465 S. 469 devait admettre que le foie gras cru ou le magret de canard ne trouvent pas d'équivalent en Suisse, il faudrait de toute manière constater qu'en gérant judicieusement ses capacités d'écoulement de volaille du pays, telles qu'elles ressortent de sa liste de prix ou de sa demande d'importation, dans laquelle elle prétend elle-même avoir pris en charge de la volaille indigène, la recourante aurait pu satisfaire à l'obligation de prise en charge liée à l'importation de 500 kg de foie gras et 100 kg de magret de canard. C'est donc à tort que l'intéressée se prétend dans un cas de rigueur excessive. d) Au surplus, les derniers développements de l'affaire, notamment l'octroi de permis d'importation par décision du 19 novembre 1990, démontrent également que la recourante est en mesure de prendre en charge de la volaille indigène, confirmant du même coup la justesse de la décision attaquée; en l'espace de trois mois, d'août à octobre 1990, Ircal SA a en effet écoulé plus de 700 kg de volaille du pays, de sorte qu'on ne voit pas comment cette société peut encore sérieusement prétendre ne pas disposer de la clientèle nécessaire pour acquérir de la volaille du pays. Le fait qu'elle ait renoncé depuis juillet 1991 à écouler de la volaille indigène ne change rien à la démonstration qu'elle a faite de sa capacité de satisfaire comme les autres importateurs à son obligation de prise en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