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322 vom 1. Januar 1991</w:t>
      </w:r>
    </w:p>
    <w:p>
      <w:r>
        <w:t>Bundesgericht (BGE), 1991-01-01, DE</w:t>
      </w:r>
    </w:p>
    <w:p>
      <w:r>
        <w:rPr>
          <w:b/>
        </w:rPr>
        <w:t xml:space="preserve">Quelle: </w:t>
      </w:r>
      <w:r>
        <w:t>https://mcp.opencaselaw.ch/entscheid/bge_BGE_117_IA_322</w:t>
      </w:r>
    </w:p>
    <w:p>
      <w:r>
        <w:t>FR: BGE BGE 117 IA 322 du 1 janvier 1991</w:t>
      </w:r>
    </w:p>
    <w:p>
      <w:r>
        <w:t>IT: BGE BGE 117 IA 322 del 1 gennaio 1991</w:t>
      </w:r>
    </w:p>
    <w:p>
      <w:pPr>
        <w:pStyle w:val="Heading2"/>
      </w:pPr>
      <w:r>
        <w:t>Regeste</w:t>
      </w:r>
    </w:p>
    <w:p>
      <w:r>
        <w:t>Regeste Art. 58 Abs. 1 BV: Ablehnung eines Richters. Verwirkung des Anspruchs bei verspäteter Geltendmachung. Offengelassen, ob ein Richter auch dann im voraus abzulehnen ist, wenn ein Ausschlussgrund (judex incapax) vorliegt.</w:t>
      </w:r>
    </w:p>
    <w:p>
      <w:r>
        <w:t>Regeste Art. 58 al. 1 Cst.: récusation d'un juge. Péremption du droit lorsqu'il est exercé tardivement. Est-ce que la récusation d'un juge doit aussi être requise d'emblée lorsqu'une cause absolue (judex incapax) est réalisée? Question laissée indécise.</w:t>
      </w:r>
    </w:p>
    <w:p>
      <w:r>
        <w:t>Regesto Art. 58 cpv. 1 Cost.: ricusazione d'un giudice. Perenzione del diritto esercitato tardivamente. Allorquando si realizza una causa assoluta (judex incapax), la ricusazione di un giudice deve essere immediatamente sollevata? Questione indecisa nella fattispecie.</w:t>
      </w:r>
    </w:p>
    <w:p>
      <w:pPr>
        <w:pStyle w:val="Heading2"/>
      </w:pPr>
      <w:r>
        <w:t>Erwägungen</w:t>
      </w:r>
    </w:p>
    <w:p>
      <w:r>
        <w:rPr>
          <w:b/>
        </w:rPr>
        <w:t>E. 1</w:t>
      </w:r>
    </w:p>
    <w:p>
      <w:r>
        <w:t>c) Ein Richter ist so früh wie möglich abzulehnen. Es verstösst gegen Treu und Glauben, Einwände dieser Art erst im Rechtsmittelverfahren vorzubringen, wenn der Mangel schon vorher hätte festgestellt werden können. Wer den Richter nicht unverzüglich ablehnt, wenn er vom Ablehnungsgrund Kenntnis erhält, sondern sich stillschweigend auf den Prozess einlässt, verwirkt den Anspruch auf spätere Anrufung der verletzten Verfassungsbestimmung ( BGE 114 Ia 280 E. e, BGE 114 V 62 E. 2b, BGE 112 Ia 340 ; vgl. auch BGE 116 Ia 138 E. 2d). Solange aber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Die Garantie des verfassungsmässigen Richters nach Art. 58 BV umfasst deshalb auch einen Anspruch auf Bekanntgabe der personellen Zusammensetzung der entscheidenden Behörde ( BGE 114 Ia 279 E. 3b, BGE 114 V 61 E. 2). Dieser Anspruch bedeutet jedoch nicht, dass die Namen der entscheidenden Richter dem rechtsuchenden Bürger ausdrücklich genannt werden müssen. Der Anspruch ist selbst dann gewahrt, wenn die Namen der entscheidenden Richter dem Betroffenen gar nicht persönlich mitgeteilt werden, sondern einer allgemein zugänglichen Publikation wie etwa einem Staatskalender entnommen werden können ( BGE 114 Ia 280 E. c). Ist die Partei durch einen Anwalt vertreten, hat sie auf jeden Fall die ordentliche Besetzung eines Gerichts zu kennen (nicht veröffentlichtes Urteil des Bundesgerichts vom 30. April 1991 i.S. G., E. 2; EGLI/KURZ, La garantie du juge indépendant et impartial dans la jurisprudence récente, RJN 1991, S. 21). Der durch einen im Kanton Glarus tätigen Anwalt vertretene Beschwerdeführer musste wissen, dass Hans Rhyner einer der beiden Kantonsgerichtspräsidenten ist und möglicherweise über seine Beschwerde entscheiden würde. Er hätte ihn daher schon mit der Einreichung der Beschwerde ablehnen können. Es fragt sich allerdings, ob ein Richter auch dann schon im voraus abgelehnt werden muss, wenn ein sogenannter Ausschlussgrund vorliegt, der von Amtes wegen zu beachten ist (Fall des BGE 117 Ia 322 S. 324 judex incapax). Das kann der Fall sein, wenn der Richter selbst Partei ist, oder auch unter gewissen Umständen bei der sogenannten Vorbefassung (vgl. NIKLAUS SCHMID, Strafprozessrecht, 1989, S. 40, Rz. 137; GÉRARD PIQUEREZ, Précis de procédure pénale suisse, 1987, S. 91, Rz. 380 ff.). Das glarnerische Strafprozessrecht unterscheidet aber nicht zwischen Ausschluss- und Ablehnungsgründen (Art. 3 der Strafprozessordnung des Kantons Glarus vom 2. Mai 1965). Ob die Personalunion zwischen dem Zivilrichter und dem über den gleichen Sachverhalt urteilenden Strafrichter überhaupt als Vorbefassung gelten muss, ist zumindest zweifelhaft. Der Beschwerdeführer durfte daher nicht damit rechnen, dass Hans Rhyner von sich aus in den Ausstand treten würde. Auch unter diesem Gesichtspunkt hätte er schon mit seiner Beschwerde an das Kantonsgerichtspräsidium den Ausstand von Hans Rhyner verlangen müssen. Weil er dies unterliess, kann heute auf sein Ablehnungsbegehren nicht mehr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