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199 vom 1. Januar 1991</w:t>
      </w:r>
    </w:p>
    <w:p>
      <w:r>
        <w:t>Bundesgericht (BGE), 1991-01-01, DE</w:t>
      </w:r>
    </w:p>
    <w:p>
      <w:r>
        <w:rPr>
          <w:b/>
        </w:rPr>
        <w:t xml:space="preserve">Quelle: </w:t>
      </w:r>
      <w:r>
        <w:t>https://mcp.opencaselaw.ch/entscheid/bge_BGE_117_IA_199</w:t>
      </w:r>
    </w:p>
    <w:p>
      <w:r>
        <w:t>FR: BGE BGE 117 IA 199 du 1 janvier 1991</w:t>
      </w:r>
    </w:p>
    <w:p>
      <w:r>
        <w:t>IT: BGE BGE 117 IA 199 del 1 gennaio 1991</w:t>
      </w:r>
    </w:p>
    <w:p>
      <w:pPr>
        <w:pStyle w:val="Heading2"/>
      </w:pPr>
      <w:r>
        <w:t>Regeste</w:t>
      </w:r>
    </w:p>
    <w:p>
      <w:r>
        <w:t>Regeste Art. 5 Ziff. 3 EMRK; Trennung von Haftrichter und Anklagevertreter. Es liegt ein Verstoss gegen Art. 5 Ziff. 3 EMRK vor, wenn ein Haftrichter, der eine Verhaftung verfügt hat, in der Folge im gleichen Fall die Anklage vertritt.</w:t>
      </w:r>
    </w:p>
    <w:p>
      <w:r>
        <w:t>Regeste Art. 5 par. 3 CEDH; séparation de la fonction du juge de la détention et de celle de représentant du Ministère public. L'art. 5 par. 3 CEDH est violé lorsqu'un juge qui a ordonné une arrestation soutient ultérieurement l'accusation dans la même affaire.</w:t>
      </w:r>
    </w:p>
    <w:p>
      <w:r>
        <w:t>Regesto Art. 5 n. 3 CEDU; separazione della funzione di giudice dell'arresto da quella di rappresentante della Procura pubblica. L'art. 5 n. 3 CEDU è violato laddove un giudice che abbia ordinato un arresto rappresenti poi la pubblica accusa nella stessa causa.</w:t>
      </w:r>
    </w:p>
    <w:p>
      <w:pPr>
        <w:pStyle w:val="Heading2"/>
      </w:pPr>
      <w:r>
        <w:t>Erwägungen</w:t>
      </w:r>
    </w:p>
    <w:p>
      <w:r>
        <w:rPr>
          <w:b/>
        </w:rPr>
        <w:t>E. 4</w:t>
      </w:r>
    </w:p>
    <w:p>
      <w:r>
        <w:t>a) Der Beschwerdeführer rügt weiter eine Verletzung von Art. 5 Ziff. 3 EMRK . Er beruft sich dabei auf den Fall Jutta Huber, den der Europäische Gerichtshof für Menschenrechte am 23. Oktober 1990 entschieden hat (Série A Nr. 188, in EuGRZ 1990, 502 ff.). Die angefochtene Verfügung der Justizdirektion und die Vernehmlassungen der Beschwerdegegner wollen diesen Entscheid nicht auf den vorliegenden Fall angewendet haben. b) Im Fall Huber kam der Europäische Gerichtshof für Menschenrechte in Ziffer 43 zum Schluss, die EMRK schliesse zwar nicht aus, dass ein Gerichtsbeamter, der über die Haft befindet, auch andere Funktionen ausübe. Aber seine Unbefangenheit sei in Frage gestellt, wenn er im Verlaufe des späteren Strafverfahrens als Anklagevertreter auftreten könne. Der Fall betraf einen zürcherischen Bezirksanwalt, wobei von Anfang an weitgehend feststand, dass eine allfällige Anklage in die bezirksgerichtliche Zuständigkeit fallen würde. c) Im vorliegenden Fall stand demgegenüber anhand der Deliktsumme von Anfang an fest, dass erstinstanzlich, im Gegensatz zum Fall Jutta Huber, gegebenenfalls Anklage beim Obergericht bzw. dem Geschworenengericht erhoben und als Anklagebehörde in diesem Fall nicht die Bezirksanwaltschaft, sondern die Staatsanwaltschaft amten würde (vgl. § 44 i.V.m. § 72 GVG ). In der Tat erhob in der Folge dann auch die Staatsanwaltschaft gegen den Beschwerdeführer Anklage beim Obergericht. Anklagevertreter war aber der in der Zwischenzeit zum ausserordentlichen Staatsanwalt ernannte Bezirksanwalt, der teilweise die Untersuchung geführt und den Beschwerdeführer, nachdem dieser am 20. Juni 1984 nach zweitägiger Untersuchungshaft entlassen worden war, am 31. August 1987 erneut in Untersuchungshaft versetzt hatte. Allein dieser Umstand zeigt, dass hier grundsätzlich ein Fall vorliegt, in welchem der die Untersuchung führende Bezirksanwalt später, zwar in anderer Funktion, die Anklageschrift ausarbeitete und formell Anklage beim Obergericht erhob. Nicht entscheidend kann dabei sein, ob Bezirksanwalt Sch. gewusst hat oder damit rechnen musste, dass er in die Lage kommen könnte, einmal die Anklage zu vertreten. Richtig ist, dass im zürcherischen Strafverfahren die hier eingetretene Konstellation zumindest nicht häufig vorkommt. In den letzten Jahren wurden jedoch, wie dem Bundesgericht bekannt ist, wiederholt Bezirksanwälte wegen der grossen BGE 117 Ia 199 S. 202 Geschäftslast der Staatsanwaltschaft zu ausserordentlichen Staatsanwälten auf Zeit oder ad hoc für einzelne Fälle ernannt. Ganz ausschliessen konnte Bezirksanwalt Sch. im Sommer 1987 dies nicht, obwohl damals der Gang der Dinge noch nicht sehr wahrscheinlich war. Es liegt somit ein Fall vor, wie ihn die Erwägungen Ziffer 43 des Strassburger Urteils vom 23. Oktober 1990 i.S. Jutta Huber durchaus im Auge hatten. Die entsprechende Rüge erscheint deshalb als begründet. Zur Präzisierung sei hier jedoch angeführt, dass die Verletzung von Art. 5 Ziff. 3 EMRK nicht unmittelbar in der Tätigkeit von Sch. als ausserordentlicher Staatsanwalt liegt, sondern in seiner Tätigkeit als Bezirksanwalt im Zeitpunkt der Verhaftung des Beschwerdeführers. Diese Haftverfügung ist indessen nicht mehr anfechtbar. Um die von Art. 5 Ziff. 3 EMRK geforderte Trennung von Haftrichter und Anklagevertreter überhaupt durchsetzen zu können, muss der Beschwerdeführer diese Rüge auch in einem späteren Verfahrensstadium, wenn er vom entsprechenden Mangel Kenntnis erhält, noch vorbringen und verlangen können, dass diejenige Person, die die Haft verfügte, nicht als Anklagevertreter tätig 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