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135 vom 1. Januar 1991</w:t>
      </w:r>
    </w:p>
    <w:p>
      <w:r>
        <w:t>Bundesgericht (BGE), 1991-01-01, DE</w:t>
      </w:r>
    </w:p>
    <w:p>
      <w:r>
        <w:rPr>
          <w:b/>
        </w:rPr>
        <w:t xml:space="preserve">Quelle: </w:t>
      </w:r>
      <w:r>
        <w:t>https://mcp.opencaselaw.ch/entscheid/bge_BGE_117_IA_135</w:t>
      </w:r>
    </w:p>
    <w:p>
      <w:r>
        <w:t>FR: BGE BGE 117 IA 135 du 1 janvier 1991</w:t>
      </w:r>
    </w:p>
    <w:p>
      <w:r>
        <w:t>IT: BGE BGE 117 IA 135 del 1 gennaio 1991</w:t>
      </w:r>
    </w:p>
    <w:p>
      <w:pPr>
        <w:pStyle w:val="Heading2"/>
      </w:pPr>
      <w:r>
        <w:t>Regeste</w:t>
      </w:r>
    </w:p>
    <w:p>
      <w:r>
        <w:t>Regeste Art. 4 BV; Begriff des Geschädigten im Strafprozess, willkürliche Auslegung von kantonalem Recht. Es ist willkürlich, den Begriff des Geschädigten im Strafprozess entgegen der allgemein herrschenden Lehre und Praxis auszulegen und dabei auch von einer bestehenden kantonalen Praxis zum Geschädigtenbegriff ohne sachliche Begründung abzuweichen.</w:t>
      </w:r>
    </w:p>
    <w:p>
      <w:r>
        <w:t>Regeste Art. 4 Cst.; notion de lésé en procédure pénale, interprétation arbitraire du droit cantonal. Il est arbitraire d'interpréter la notion de lésé dans la procédure pénale de manière contraire à la doctrine et à la jurisprudence dominantes et de s'écarter ainsi, sans motivation objective, d'une jurisprudence cantonale bien établie relative à cette notion.</w:t>
      </w:r>
    </w:p>
    <w:p>
      <w:r>
        <w:t>Regesto Art. 4 Cost.; nozione di parte lesa nella procedura penale, interpretazione arbitraria del diritto cantonale. È arbitrario interpretare la nozione di parte lesa nella procedura penale in modo contrario alla dottrina e alla giurisprudenza dominanti e scostarsi così, senza una motivazione obiettiva, da una giurisprudenza cantonale esistente al proposito.</w:t>
      </w:r>
    </w:p>
    <w:p>
      <w:pPr>
        <w:pStyle w:val="Heading2"/>
      </w:pPr>
      <w:r>
        <w:t>Erwägungen</w:t>
      </w:r>
    </w:p>
    <w:p>
      <w:r>
        <w:rPr>
          <w:b/>
        </w:rPr>
        <w:t>E. 2</w:t>
      </w:r>
    </w:p>
    <w:p>
      <w:r>
        <w:t>a) Gemäss der Praxis der Anklagekammer des Kantons Thurgau ist als Geschädigter im Sinne der thurgauischen Strafprozessordnung nur diejenige Person anzusehen, welcher durch die inkriminierte Handlung unmittelbar ein Nachteil zugefügt worden ist. Das Bundesgericht hat diese Auffassung im Zusammenhang mit der Auslegung von § 205 Abs. 1 StPO /TG (betreffend die Beschwerdelegitimation des Geschädigten) verschiedentlich gestützt und festgehalten, sie entspreche sowohl dem Willen des historischen Gesetzgebers wie auch der im schweizerischen Strafprozessrecht BGE 117 Ia 135 S. 137 allgemein geltenden Konzeption (unveröffentlichte Urteile vom 6. Januar 1988 i.S. W. J. und Mitb., E. 2 sowie vom 11. August 1987 i.S. W. J., E. 2; zur analogen Zürcher Praxis betreffend § 395 Abs. 1 StPO /ZH vgl. auch unveröffentlichtes Urteil vom 8. Januar 1988 i.S. L. B., E. 2). Als Geschädigter ist nach vorherrschender Auffassung nur der unmittelbar Geschädigte zu verstehen, d.h. der Träger des durch die Strafdrohung geschützten Rechtsgutes, gegen das sich die Straftat ihrem Begriff nach richtet (CLAUDE BAUMANN, Die Stellung des Geschädigten im schweizerischen Strafprozess, Diss. ZH 1958, S. 21 f.; Peter Brunner, Die Stellung des Geschädigten im zürcherischen Offizial- und subsidiären Privatstrafklageverfahren, Diss. ZH 1976, S. 27; HERMANN BÜRGI, Die Behördenorganisation und das ordentliche Verfahren nach der Revision des thurgauischen Strafprozessrechts, Diss. ZH 1973, S. 72 ff.; A. HARTMANN, Die Stellung des Geschädigten sowie von Dritten im zürcherischen Strafprozess, Kriminalistik 1970, Sonderdruck, S. 4; ROBERT HAUSER, Kurzlehrbuch des schweizerischen Strafprozessrechts, 2. Aufl., S. 82 f.; HAUSER/HAUSER, Kommentar zum zürcherischen Gerichtsverfassungsgesetz vom 29. Januar 1911, S. 293; PETER LITSCHGI, Die Rechtsmittel im thurgauischen Strafprozess, Diss. ZH 1975, S. 19; NIKLAUS OBERHOLZER, Grundzüge des st. gallischen Strafprozessrechts, St. Gallen 1988, S. 112; GÉRARD PIQUEREZ, Précis de procédure pénale suisse, Lausanne 1987, S. 265 f.; JOLANTA SAMOCHOWIEC, Die Stellung des Verletzten im Strafprozess aus rechtsvergleichender Sicht, ZStrR 104/1987, S. 416 ff., S. 432; NIKLAUS SCHMID, Strafprozessrecht, Zürich 1989, N 502, 508 f.; vgl. für die deutsche Lehre auch LÖWE-ROSENBERG, StPO-Grosskommentar, 24. Aufl. 1989, § 172 N 51 f.; teilweise a. M. ZBJV 96/1960, S. 332). Bei Delikten, die nicht primär Individualrechtsgüter schützen, wird angenommen, nur diejenigen Personen könnten als Geschädigte betrachtet werden, die durch derartige Delikte tatsächlich in ihren Rechten beeinträchtigt wurden, sofern diese Beeinträchtigung unmittelbare Folge der tatbestandsmässigen Handlung ist (unveröffentlichte Urteile vom 8. Januar 1988 i.S. L. B. E. 2a, vom 6. Januar 1988 i.S. W. J. und Mitb. E. 2, S. 6 sowie vom 11. August 1987 i.S. W. J. E. 2, S. 7; vgl. SJZ 71/1975 S. 283; SJZ 60/1964 S. 72 Nr. 46; ROBERT HAUSER, a.a.O., S. 82 f.; NIKLAUS SCHMID, a.a.O., N 509; auch der von den Beschwerdegegnern angerufene ältere Entscheid ZBJV 96/1960, S. 332, verlangt, dass die Verletzung BGE 117 Ia 135 S. 138 des fraglichen privaten Rechtsgutes "durch dieselbe Handlung bewirkt" worden sein müsse). Schliesslich ist auch Art. 28 StGB nach ständiger Praxis des Bundesgerichtes dahingehend auszulegen, dass nur der unmittelbar Verletzte strafantragsberechtigt ist ( BGE 101 IV 407 mit Hinweisen; BGE 98 IV 243 ; vgl. BGE BGE 111 IV 67 E. 3; BGE 108 IV 24 f.). b) Der Beschwerdeführer ist von den thurgauischen Gerichten wegen Landfriedensbruch verurteilt worden, weil er an einer gewalttätigen öffentlichen Zusammenrottung teilgenommen und dabei selber eine leere Bierflasche geworfen hat, welche auf dem Platz vor dem Versammlungsgebäude der St. Michaelsvereinigung zerbrochen ist und weiter keinen Schaden angerichtet hat. Weder wegen Art. 145 Abs. 1 (Grundtatbestand der Sachbeschädigung) noch wegen Art. 145 Abs. 1bis StGB (Sachbeschädigung aus Anlass einer öffentlichen Zusammenrottung) ist gegen den Beschwerdeführer Anklage vor Gericht erhoben worden. Es fragt sich, ob die privaten Beschwerdegegner trotzdem als Geschädigte am Strafverfahren betreffend Landfriedensbruch zugelassen werden konnten und ob ihnen in der Folge adhäsionsweise ein Schadenersatzanspruch zugesprochen werden durfte. Vorab ist festzuhalten, dass nicht das Privatvermögen sondern die öffentliche Friedensordnung das von Art. 260 StGB geschützte Rechtsgut darstellt ( BGE 108 IV 38 ). Dem Schutz des Privatvermögens im Falle von Gewalttätigkeiten aus Anlass einer öffentlichen Zusammenrottung dient dagegen Art. 145 Abs. 1bis StGB (vgl. STEFAN TRECHSEL, Schweizerisches Strafgesetzbuch, Kurzkommentar, Art. 145 N 7 mit Hinweisen). Es kommt im vorliegenden Fall dazu, dass auch das dem Beschwerdeführer konkret vorgeworfene Verhalten nicht unmittelbar zu dem von den privaten Beschwerdegegnern geltend gemachten Vermögensschaden geführt hat. Es kann somit nicht gesagt werden, dass die privaten Beschwerdegegner allein durch die gemäss Art. 260 StGB inkriminierte Tat einen persönlichen und unmittelbaren Nachteil erlitten haben. Für das Zustandekommen des geltend gemachten Schadens war über die gemäss Art. 260 StGB inkriminierte Tat hinaus ein Hinzutreten weiterer Elemente notwendig. Der das Privatvermögen schädigende Eingriff war somit nicht unmittelbare Folge der tatbestandsmässigen Handlung, vielmehr konnte der zur Anklage gebrachte Sachverhalt höchstenfalls eine mittelbare Beeinträchtigung der Vermögensinteressen der privaten Beschwerdegegner nach sich ziehen. BGE 117 Ia 135 S. 139 Eine solche mittelbare Beeinträchtigung vermag aber nach der dargelegten Lehre und Praxis noch keine Geschädigtenstellung zu begründen (E. 2a). Anders wäre zu entscheiden, wenn gegen den Beschwerdeführer nicht nur wegen Art. 260 sondern zusätzlich auch noch wegen Art. 145 StGB Anklage erhoben worden wäre. Gemäss der bundesgerichtlichen Rechtsprechung besteht zwischen Art. 145 und Art. 260 StGB Idealkonkurrenz ( BGE 103 IV 247 ; vgl. STEFAN TRECHSEL, a.a.O., Art. 260 N 10 ). Im vorliegenden Fall wurde zwar am 9. Mai 1988 wegen Verletzung von Art. 145 StGB Strafantrag gestellt, es erfolgte indessen weder bezüglich Art. 145 Abs. 1 (Antragsdelikt) noch bezüglich Art. 145 Abs. 1bis StGB (Offizialdelikt) eine Anklageerhebung vor Gericht. Gegen diesen Verzicht auf eine Anklageerhebung wegen Sachbeschädigung oder anderen Vermögensdelikten wurde von den privaten Beschwerdegegnern gemäss den kantonalen Akten nicht opponiert. Dass die privaten Beschwerdegegner trotzdem als Geschädigte im Strafverfahren formell zugelassen worden sind, steht nach dem Gesagten zumindest in klarem Widerspruch zur herrschenden Lehre und Praxis. Es fragt sich, ob die Anwendung des kantonalen Rechtes durch die kantonalen Instanzen darüber hinaus sogar als willkürlich zu qualifizieren ist. c) Willkür liegt nach der Rechtsprechung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(BGE BGE 114 Ia 27 f. E. 3b; 218 E. 2a). Dabei genügt es jedoch nicht, wenn sich nur die Begründung des angefochtenen Entscheides als unhaltbar erweist. Die Aufhebung eines Entscheids rechtfertigt sich nur, wenn dieser auch im Ergebnis verfassungswidrig ist ( BGE 113 Ib 311 f. E. 2a; BGE 113 III 8 E. 1a; 84 E. 2a). Die Rechtsanwendung der kantonalen Instanzen ist deshalb qualifiziert unrichtig und unhaltbar, weil die Auslegung des Begriffes des Geschädigten nicht nur der herrschenden Lehre und Rechtsprechung widerspricht, sondern darüber hinaus einer konstanten Praxis im Kanton Thurgau selbst. Wie bereits dargestellt, legt die Anklagekammer des Kantons Thurgau (im Zusammenhang mit der Anwendung von § 205 Abs. 1 StPO /TG) den Begriff des Geschädigten nach Thurgauer Strafprozessordnung ebenfalls BGE 117 Ia 135 S. 140 dahingehend aus, dass darunter nur diejenige Person verstanden werden kann, welcher durch die inkriminierte Handlung unmittelbar ein Nachteil zugefügt worden ist (vgl. E. 2a). Es ist willkürlich, im vorliegenden Fall den Begriff des Geschädigten entgegen der herrschenden Lehre und Rechtsprechung auszulegen und dabei sogar von einer bestehenden thurgauischen Praxis zum Geschädigtenbegriff ohne sachliche Begründung abzuweichen. Dies muss umso mehr gelten, als die kantonalen Instanzen dem Beschwerdeführer für den Vorwurf des Landfriedensbruches keinen Sachverhalt zur Last gelegt haben, der für den Vermögensschaden bei den privaten Beschwerdegegnern unmittelbar kausal gewesen sein kann. Obwohl der Beschwerdeführer auf die betreffenden Widersprüche ausdrücklich hingewiesen hat, behaupten weder die kantonalen Instanzen noch die privaten Beschwerdegegner, dass es zwingende sachliche Gründe dafür gebe, im vorliegenden Fall von einem anderen Geschädigtenbegriff auszugehen als bei der Anwendung von § 205 Abs. 1 StPO /TG. Solche Gründe sind auch nicht leichthin ersichtlich (für einen einheitlichen Begriff des Geschädigten im thurgauischen Strafprozessrecht im Interesse der Rechtssicherheit plädiert jedenfalls HERMANN BÜRGI, a.a.O., S. 72). Im übrigen kann es grundsätzlich nicht Sache des Bundesgerichtes sein, im Verfahren der staatsrechtlichen Beschwerde selbständig nach entsprechenden willkürfreien Motiven zu forschen und sie gegebenenfalls im angefochtenen Entscheid zu substituieren (vgl. dazu BGE 112 Ia 354 f. E. bb). Die Anwendung des kantonalen Rechtes im angefochtenen Entscheid verstösst daher im Ergebnis gegen Art. 4 BV . Der Entscheid ist aufzuheben und die Beschwerdegegner sind für die Geltendmachung von Schadenersatzansprüchen auf den Zivilweg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